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rPr>
          <w:rFonts w:hint="default"/>
          <w:lang w:val="en-US" w:eastAsia="zh-CN"/>
        </w:rPr>
      </w:pPr>
      <w:r>
        <w:rPr>
          <w:rFonts w:hint="eastAsia"/>
          <w:lang w:val="en-US" w:eastAsia="zh-CN"/>
        </w:rPr>
        <w:t>ICS 13.100</w:t>
      </w:r>
    </w:p>
    <w:p>
      <w:pPr>
        <w:pStyle w:val="66"/>
        <w:rPr>
          <w:rFonts w:hint="default"/>
          <w:lang w:val="en-US" w:eastAsia="zh-CN"/>
        </w:rPr>
      </w:pPr>
      <w:r>
        <w:rPr>
          <w:rFonts w:hint="eastAsia"/>
          <w:lang w:val="en-US" w:eastAsia="zh-CN"/>
        </w:rPr>
        <w:t>CCS P 09</w:t>
      </w:r>
    </w:p>
    <w:p>
      <w:pPr>
        <w:pStyle w:val="57"/>
        <w:rPr>
          <w:rFonts w:hint="eastAsia"/>
        </w:rPr>
      </w:pPr>
      <w:r>
        <w:rPr>
          <w:rFonts w:hint="eastAsia"/>
          <w:lang w:val="en-US" w:eastAsia="zh-CN"/>
        </w:rPr>
        <w:t>T</w:t>
      </w:r>
      <w:r>
        <w:t>/</w:t>
      </w:r>
      <w:r>
        <w:rPr>
          <w:rFonts w:hint="eastAsia"/>
          <w:lang w:val="en-US" w:eastAsia="zh-CN"/>
        </w:rPr>
        <w:t>GZX 002</w:t>
      </w:r>
      <w:r>
        <w:rPr>
          <w:rFonts w:hint="eastAsia"/>
        </w:rPr>
        <w:t>-202</w:t>
      </w:r>
      <w:r>
        <w:rPr>
          <w:rFonts w:hint="eastAsia"/>
          <w:lang w:val="en-US" w:eastAsia="zh-CN"/>
        </w:rPr>
        <w:t>1</w:t>
      </w:r>
    </w:p>
    <w:p>
      <w:pPr>
        <w:pStyle w:val="57"/>
        <w:rPr>
          <w:rFonts w:hAnsi="黑体"/>
        </w:rPr>
      </w:pPr>
    </w:p>
    <w:p>
      <w:pPr>
        <w:pStyle w:val="72"/>
        <w:rPr>
          <w:rFonts w:hint="eastAsia"/>
          <w:sz w:val="44"/>
          <w:szCs w:val="44"/>
          <w:lang w:val="en-US" w:eastAsia="zh-CN"/>
        </w:rPr>
      </w:pPr>
      <w:bookmarkStart w:id="0" w:name="StdName"/>
      <w:r>
        <w:rPr>
          <w:rFonts w:hint="eastAsia"/>
          <w:sz w:val="44"/>
          <w:szCs w:val="44"/>
          <w:lang w:val="en-US" w:eastAsia="zh-CN"/>
        </w:rPr>
        <w:t>安全与风险综合</w:t>
      </w:r>
      <w:r>
        <w:rPr>
          <w:rFonts w:hint="eastAsia"/>
          <w:sz w:val="44"/>
          <w:szCs w:val="44"/>
        </w:rPr>
        <w:t>管理</w:t>
      </w:r>
      <w:r>
        <w:rPr>
          <w:rFonts w:hint="eastAsia"/>
          <w:sz w:val="44"/>
          <w:szCs w:val="44"/>
          <w:lang w:val="en-US" w:eastAsia="zh-CN"/>
        </w:rPr>
        <w:t>体系</w:t>
      </w:r>
      <w:bookmarkEnd w:id="0"/>
      <w:r>
        <w:rPr>
          <w:rFonts w:hint="eastAsia"/>
          <w:sz w:val="44"/>
          <w:szCs w:val="44"/>
          <w:lang w:val="en-US" w:eastAsia="zh-CN"/>
        </w:rPr>
        <w:t xml:space="preserve"> 等级认定评价指南</w:t>
      </w:r>
    </w:p>
    <w:p>
      <w:pPr>
        <w:pStyle w:val="72"/>
        <w:rPr>
          <w:rFonts w:hint="default"/>
          <w:sz w:val="32"/>
          <w:szCs w:val="32"/>
          <w:lang w:val="en-US" w:eastAsia="zh-CN"/>
        </w:rPr>
      </w:pPr>
      <w:r>
        <w:rPr>
          <w:rFonts w:hint="default"/>
          <w:sz w:val="32"/>
          <w:szCs w:val="32"/>
          <w:lang w:val="en-US" w:eastAsia="zh-CN"/>
        </w:rPr>
        <w:t>Safety and risk integrated management system</w:t>
      </w:r>
      <w:r>
        <w:rPr>
          <w:rFonts w:hint="eastAsia"/>
          <w:sz w:val="32"/>
          <w:szCs w:val="32"/>
          <w:lang w:val="en-US" w:eastAsia="zh-CN"/>
        </w:rPr>
        <w:t>s</w:t>
      </w:r>
      <w:r>
        <w:rPr>
          <w:rFonts w:hint="default"/>
          <w:sz w:val="32"/>
          <w:szCs w:val="32"/>
          <w:lang w:val="en-US" w:eastAsia="zh-CN"/>
        </w:rPr>
        <w:t>-Guidelines for rating identification and assessment</w:t>
      </w:r>
    </w:p>
    <w:p>
      <w:pPr>
        <w:pStyle w:val="71"/>
      </w:pPr>
    </w:p>
    <w:p>
      <w:pPr>
        <w:pStyle w:val="70"/>
      </w:pP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69"/>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AWJrpLVAAAACgEAAA8AAAAAAAAAAQAgAAAAIgAAAGRycy9k&#10;b3ducmV2LnhtbFBLAQIUABQAAAAIAIdO4kDburpZkwEAABEDAAAOAAAAAAAAAAEAIAAAACQBAABk&#10;cnMvZTJvRG9jLnhtbFBLBQYAAAAABgAGAFkBAAAp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 name="矩形 1"/>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APhi+XWAAAACQEAAA8AAAAAAAAAAQAgAAAAIgAAAGRycy9k&#10;b3ducmV2LnhtbFBLAQIUABQAAAAIAIdO4kB8vayZkgEAABEDAAAOAAAAAAAAAAEAIAAAACUBAABk&#10;cnMvZTJvRG9jLnhtbFBLBQYAAAAABgAGAFkBAAApBQ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09"/>
            </w:pPr>
          </w:p>
        </w:tc>
      </w:tr>
    </w:tbl>
    <w:p>
      <w:pPr>
        <w:pStyle w:val="125"/>
      </w:pPr>
      <w:r>
        <w:rPr>
          <w:rFonts w:hint="eastAsia" w:ascii="黑体"/>
          <w:lang w:val="en-US" w:eastAsia="zh-CN"/>
        </w:rPr>
        <w:t>2021</w:t>
      </w:r>
      <w:r>
        <w:t xml:space="preserve"> </w:t>
      </w:r>
      <w:r>
        <w:rPr>
          <w:rFonts w:ascii="黑体"/>
        </w:rPr>
        <w:t>-</w:t>
      </w:r>
      <w:r>
        <w:t xml:space="preserve"> </w:t>
      </w:r>
      <w:r>
        <w:rPr>
          <w:rFonts w:hint="eastAsia" w:ascii="黑体"/>
          <w:lang w:val="en-US" w:eastAsia="zh-CN"/>
        </w:rPr>
        <w:t>10</w:t>
      </w:r>
      <w:r>
        <w:t xml:space="preserve"> </w:t>
      </w:r>
      <w:r>
        <w:rPr>
          <w:rFonts w:ascii="黑体"/>
        </w:rPr>
        <w:t>-</w:t>
      </w:r>
      <w:r>
        <w:t xml:space="preserve"> </w:t>
      </w:r>
      <w:r>
        <w:rPr>
          <w:rFonts w:hint="eastAsia" w:ascii="黑体"/>
          <w:lang w:val="en-US" w:eastAsia="zh-CN"/>
        </w:rPr>
        <w:t>30</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YdrPNYAAAALAQAADwAAAAAAAAAB&#10;ACAAAAAiAAAAZHJzL2Rvd25yZXYueG1sUEsBAhQAFAAAAAgAh07iQIiPmvbZAQAAlgMAAA4AAAAA&#10;AAAAAQAgAAAAJQEAAGRycy9lMm9Eb2MueG1sUEsFBgAAAAAGAAYAWQEAAHAFAAAAAA==&#10;">
                <v:fill on="f" focussize="0,0"/>
                <v:stroke color="#000000" joinstyle="round"/>
                <v:imagedata o:title=""/>
                <o:lock v:ext="edit" aspectratio="f"/>
                <w10:anchorlock/>
              </v:line>
            </w:pict>
          </mc:Fallback>
        </mc:AlternateContent>
      </w:r>
    </w:p>
    <w:p>
      <w:pPr>
        <w:pStyle w:val="126"/>
        <w:rPr>
          <w:rFonts w:hint="eastAsia" w:ascii="黑体" w:hAnsi="黑体" w:eastAsia="黑体" w:cs="黑体"/>
        </w:rPr>
      </w:pPr>
      <w:r>
        <w:rPr>
          <w:rFonts w:hint="eastAsia" w:ascii="黑体"/>
          <w:lang w:val="en-US" w:eastAsia="zh-CN"/>
        </w:rPr>
        <w:t>2021</w:t>
      </w:r>
      <w:r>
        <w:t xml:space="preserve"> </w:t>
      </w:r>
      <w:r>
        <w:rPr>
          <w:rFonts w:ascii="黑体"/>
        </w:rPr>
        <w:t>-</w:t>
      </w:r>
      <w:r>
        <w:t xml:space="preserve"> </w:t>
      </w:r>
      <w:r>
        <w:rPr>
          <w:rFonts w:hint="eastAsia" w:ascii="黑体"/>
          <w:lang w:val="en-US" w:eastAsia="zh-CN"/>
        </w:rPr>
        <w:t>10</w:t>
      </w:r>
      <w:r>
        <w:t xml:space="preserve"> </w:t>
      </w:r>
      <w:r>
        <w:rPr>
          <w:rFonts w:ascii="黑体"/>
        </w:rPr>
        <w:t>-</w:t>
      </w:r>
      <w:r>
        <w:t xml:space="preserve"> </w:t>
      </w:r>
      <w:r>
        <w:rPr>
          <w:rFonts w:hint="eastAsia" w:ascii="黑体"/>
          <w:lang w:val="en-US" w:eastAsia="zh-CN"/>
        </w:rPr>
        <w:t>30</w:t>
      </w:r>
      <w:r>
        <w:rPr>
          <w:rFonts w:hint="eastAsia" w:ascii="黑体" w:hAnsi="黑体" w:eastAsia="黑体" w:cs="黑体"/>
        </w:rPr>
        <w:t>实施</w:t>
      </w:r>
    </w:p>
    <w:p>
      <w:pPr>
        <w:pStyle w:val="58"/>
        <w:framePr w:w="8975" w:x="1604"/>
        <w:ind w:left="980" w:hanging="560"/>
        <w:rPr>
          <w:rFonts w:hint="eastAsia" w:ascii="黑体" w:hAnsi="黑体" w:eastAsia="黑体" w:cs="黑体"/>
          <w:sz w:val="24"/>
        </w:rPr>
      </w:pPr>
      <w:bookmarkStart w:id="1" w:name="fm"/>
      <w:r>
        <w:rPr>
          <w:rFonts w:hint="eastAsia" w:ascii="黑体" w:hAnsi="黑体" w:eastAsia="黑体" w:cs="黑体"/>
          <w:w w:val="100"/>
          <w:szCs w:val="28"/>
          <w:lang w:val="en-US"/>
        </w:rPr>
        <mc:AlternateContent>
          <mc:Choice Requires="wps">
            <w:drawing>
              <wp:anchor distT="0" distB="0" distL="114300" distR="114300" simplePos="0" relativeHeight="251666432"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矩形 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2.55pt;margin-top:-310.45pt;height:24pt;width:100pt;z-index:-251650048;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5te7W2QAAAA0BAAAPAAAAAAAAAAEAIAAAACIAAABk&#10;cnMvZG93bnJldi54bWxQSwECFAAUAAAACACHTuJAf9b2rJMBAAARAwAADgAAAAAAAAABACAAAAAo&#10;AQAAZHJzL2Uyb0RvYy54bWxQSwUGAAAAAAYABgBZAQAALQUAAAAA&#10;">
                <v:fill on="t" focussize="0,0"/>
                <v:stroke on="f"/>
                <v:imagedata o:title=""/>
                <o:lock v:ext="edit" aspectratio="f"/>
              </v:rect>
            </w:pict>
          </mc:Fallback>
        </mc:AlternateContent>
      </w:r>
      <w:r>
        <w:rPr>
          <w:rFonts w:hint="eastAsia" w:ascii="黑体" w:hAnsi="黑体" w:eastAsia="黑体" w:cs="黑体"/>
          <w:w w:val="100"/>
          <w:szCs w:val="28"/>
          <w:lang w:val="en-US"/>
        </w:rPr>
        <mc:AlternateContent>
          <mc:Choice Requires="wps">
            <w:drawing>
              <wp:anchor distT="0" distB="0" distL="114300" distR="114300" simplePos="0" relativeHeight="25166540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47.55pt;margin-top:-585.45pt;height:18pt;width:90pt;z-index:-25165107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JihHaAAAADwEAAA8AAAAAAAAAAQAgAAAAIgAA&#10;AGRycy9kb3ducmV2LnhtbFBLAQIUABQAAAAIAIdO4kBragKilAEAABEDAAAOAAAAAAAAAAEAIAAA&#10;ACkBAABkcnMvZTJvRG9jLnhtbFBLBQYAAAAABgAGAFkBAAAvBQAAAAA=&#10;">
                <v:fill on="t" focussize="0,0"/>
                <v:stroke on="f"/>
                <v:imagedata o:title=""/>
                <o:lock v:ext="edit" aspectratio="f"/>
              </v:rect>
            </w:pict>
          </mc:Fallback>
        </mc:AlternateContent>
      </w:r>
      <w:r>
        <w:rPr>
          <w:rFonts w:hint="eastAsia" w:ascii="黑体" w:hAnsi="黑体" w:eastAsia="黑体" w:cs="黑体"/>
          <w:w w:val="100"/>
          <w:szCs w:val="28"/>
          <w:lang w:val="en-US"/>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6pt;margin-top:-552.85pt;height:0pt;width:481.9pt;z-index:25166438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7JZGg2AAAAA8BAAAPAAAAAAAA&#10;AAEAIAAAACIAAABkcnMvZG93bnJldi54bWxQSwECFAAUAAAACACHTuJAnE4e9dkBAACWAwAADgAA&#10;AAAAAAABACAAAAAnAQAAZHJzL2Uyb0RvYy54bWxQSwUGAAAAAAYABgBZAQAAcgUAAAAA&#10;">
                <v:fill on="f" focussize="0,0"/>
                <v:stroke color="#000000" joinstyle="round"/>
                <v:imagedata o:title=""/>
                <o:lock v:ext="edit" aspectratio="f"/>
              </v:line>
            </w:pict>
          </mc:Fallback>
        </mc:AlternateContent>
      </w:r>
      <w:bookmarkEnd w:id="1"/>
      <w:r>
        <w:rPr>
          <w:rFonts w:hint="eastAsia" w:ascii="黑体" w:hAnsi="黑体" w:eastAsia="黑体" w:cs="黑体"/>
          <w:w w:val="100"/>
          <w:szCs w:val="28"/>
          <w:lang w:val="en-US" w:eastAsia="zh-CN"/>
        </w:rPr>
        <w:t>广东省企业管理咨询协会</w:t>
      </w:r>
      <w:r>
        <w:rPr>
          <w:rFonts w:hint="eastAsia" w:ascii="黑体" w:hAnsi="黑体" w:eastAsia="黑体" w:cs="黑体"/>
          <w:sz w:val="24"/>
        </w:rPr>
        <w:t>  </w:t>
      </w:r>
      <w:r>
        <w:rPr>
          <w:rStyle w:val="133"/>
          <w:rFonts w:hint="eastAsia" w:ascii="黑体" w:hAnsi="黑体" w:eastAsia="黑体" w:cs="黑体"/>
          <w:sz w:val="24"/>
        </w:rPr>
        <w:t>发布</w:t>
      </w:r>
    </w:p>
    <w:p>
      <w:pPr>
        <w:pStyle w:val="21"/>
        <w:rPr>
          <w:rFonts w:hint="eastAsia" w:ascii="黑体" w:hAnsi="黑体" w:eastAsia="黑体" w:cs="黑体"/>
          <w:sz w:val="84"/>
          <w:szCs w:val="84"/>
          <w:lang w:val="en-US"/>
        </w:rPr>
        <w:sectPr>
          <w:headerReference r:id="rId3" w:type="even"/>
          <w:footerReference r:id="rId4" w:type="even"/>
          <w:pgSz w:w="11906" w:h="16838"/>
          <w:pgMar w:top="567" w:right="1134" w:bottom="1134" w:left="1417" w:header="0" w:footer="0" w:gutter="0"/>
          <w:pgNumType w:fmt="upperRoman" w:start="1"/>
          <w:cols w:space="720" w:num="1"/>
          <w:docGrid w:type="lines" w:linePitch="312" w:charSpace="0"/>
        </w:sectPr>
      </w:pPr>
      <w:r>
        <w:rPr>
          <w:rFonts w:hint="eastAsia" w:ascii="黑体" w:hAnsi="黑体" w:eastAsia="黑体" w:cs="黑体"/>
          <w:sz w:val="84"/>
          <w:szCs w:val="84"/>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JB4l/XAAAACQEAAA8AAAAAAAAA&#10;AQAgAAAAIgAAAGRycy9kb3ducmV2LnhtbFBLAQIUABQAAAAIAIdO4kCNJXqY2QEAAJYDAAAOAAAA&#10;AAAAAAEAIAAAACYBAABkcnMvZTJvRG9jLnhtbFBLBQYAAAAABgAGAFkBAABxBQAAAAA=&#10;">
                <v:fill on="f" focussize="0,0"/>
                <v:stroke color="#000000" joinstyle="round"/>
                <v:imagedata o:title=""/>
                <o:lock v:ext="edit" aspectratio="f"/>
              </v:line>
            </w:pict>
          </mc:Fallback>
        </mc:AlternateContent>
      </w:r>
      <w:r>
        <w:rPr>
          <w:rFonts w:hint="eastAsia" w:ascii="黑体" w:hAnsi="黑体" w:eastAsia="黑体" w:cs="黑体"/>
          <w:sz w:val="84"/>
          <w:szCs w:val="84"/>
          <w:lang w:val="en-US" w:eastAsia="zh-CN"/>
        </w:rPr>
        <w:t>团  体  标  准</w:t>
      </w:r>
    </w:p>
    <w:p>
      <w:pPr>
        <w:pStyle w:val="96"/>
        <w:rPr>
          <w:rFonts w:hint="eastAsia"/>
        </w:rPr>
      </w:pPr>
      <w:bookmarkStart w:id="2" w:name="_Toc447200757"/>
      <w:bookmarkStart w:id="3" w:name="_Toc447200635"/>
      <w:bookmarkStart w:id="4" w:name="_Toc452740252"/>
      <w:bookmarkStart w:id="5" w:name="_Toc451938564"/>
      <w:bookmarkStart w:id="6" w:name="_Toc451955871"/>
      <w:r>
        <w:rPr>
          <w:rFonts w:hint="eastAsia"/>
        </w:rPr>
        <w:t>目</w:t>
      </w:r>
      <w:bookmarkStart w:id="7" w:name="BKML"/>
      <w:r>
        <w:rPr>
          <w:rFonts w:hAnsi="黑体"/>
        </w:rPr>
        <w:t>  </w:t>
      </w:r>
      <w:r>
        <w:rPr>
          <w:rFonts w:hint="eastAsia"/>
        </w:rPr>
        <w:t>次</w:t>
      </w:r>
      <w:bookmarkEnd w:id="7"/>
    </w:p>
    <w:p>
      <w:pPr>
        <w:pStyle w:val="17"/>
        <w:tabs>
          <w:tab w:val="right" w:leader="dot" w:pos="9354"/>
          <w:tab w:val="clear" w:pos="9242"/>
        </w:tabs>
      </w:pPr>
      <w:r>
        <w:rPr>
          <w:rFonts w:hint="default"/>
          <w:lang w:val="en-US"/>
        </w:rPr>
        <w:fldChar w:fldCharType="begin"/>
      </w:r>
      <w:r>
        <w:rPr>
          <w:rFonts w:hint="default"/>
          <w:lang w:val="en-US"/>
        </w:rPr>
        <w:instrText xml:space="preserve"> TOC \h \z \t"前言、引言标题,1,参考文献、索引标题,1,章标题,1,参考文献,1,附录标识,1,一级条标题, 3,附录章标题, 3" \* MERGEFORMAT </w:instrText>
      </w:r>
      <w:r>
        <w:rPr>
          <w:rFonts w:hint="default"/>
          <w:lang w:val="en-US"/>
        </w:rPr>
        <w:fldChar w:fldCharType="separate"/>
      </w:r>
      <w:r>
        <w:rPr>
          <w:rFonts w:hint="default"/>
          <w:lang w:val="en-US"/>
        </w:rPr>
        <w:fldChar w:fldCharType="begin"/>
      </w:r>
      <w:r>
        <w:rPr>
          <w:rFonts w:hint="default"/>
          <w:lang w:val="en-US"/>
        </w:rPr>
        <w:instrText xml:space="preserve"> HYPERLINK \l _Toc882 </w:instrText>
      </w:r>
      <w:r>
        <w:rPr>
          <w:rFonts w:hint="default"/>
          <w:lang w:val="en-US"/>
        </w:rPr>
        <w:fldChar w:fldCharType="separate"/>
      </w:r>
      <w:r>
        <w:rPr>
          <w:rFonts w:hint="eastAsia"/>
        </w:rPr>
        <w:t>前</w:t>
      </w:r>
      <w:r>
        <w:rPr>
          <w:rFonts w:hAnsi="黑体"/>
        </w:rPr>
        <w:t>  </w:t>
      </w:r>
      <w:r>
        <w:rPr>
          <w:rFonts w:hint="eastAsia"/>
        </w:rPr>
        <w:t>言</w:t>
      </w:r>
      <w:r>
        <w:tab/>
      </w:r>
      <w:r>
        <w:fldChar w:fldCharType="begin"/>
      </w:r>
      <w:r>
        <w:instrText xml:space="preserve"> PAGEREF _Toc882 </w:instrText>
      </w:r>
      <w:r>
        <w:fldChar w:fldCharType="separate"/>
      </w:r>
      <w:r>
        <w:t>II</w:t>
      </w:r>
      <w:r>
        <w:fldChar w:fldCharType="end"/>
      </w:r>
      <w:r>
        <w:rPr>
          <w:rFonts w:hint="default"/>
          <w:lang w:val="en-US"/>
        </w:rPr>
        <w:fldChar w:fldCharType="end"/>
      </w:r>
    </w:p>
    <w:p>
      <w:pPr>
        <w:pStyle w:val="17"/>
        <w:tabs>
          <w:tab w:val="right" w:leader="dot" w:pos="9354"/>
          <w:tab w:val="clear" w:pos="9242"/>
        </w:tabs>
        <w:rPr>
          <w:rFonts w:hint="eastAsia" w:eastAsia="宋体"/>
          <w:lang w:val="en-US" w:eastAsia="zh-CN"/>
        </w:rPr>
      </w:pPr>
      <w:r>
        <w:rPr>
          <w:rFonts w:hint="default"/>
          <w:lang w:val="en-US"/>
        </w:rPr>
        <w:fldChar w:fldCharType="begin"/>
      </w:r>
      <w:r>
        <w:rPr>
          <w:rFonts w:hint="default"/>
          <w:lang w:val="en-US"/>
        </w:rPr>
        <w:instrText xml:space="preserve"> HYPERLINK \l _Toc8383 </w:instrText>
      </w:r>
      <w:r>
        <w:rPr>
          <w:rFonts w:hint="default"/>
          <w:lang w:val="en-US"/>
        </w:rPr>
        <w:fldChar w:fldCharType="separate"/>
      </w:r>
      <w:r>
        <w:rPr>
          <w:rFonts w:hint="eastAsia"/>
          <w:lang w:val="en-US" w:eastAsia="zh-CN"/>
        </w:rPr>
        <w:t>引</w:t>
      </w:r>
      <w:r>
        <w:rPr>
          <w:rFonts w:hAnsi="黑体"/>
        </w:rPr>
        <w:t>  </w:t>
      </w:r>
      <w:r>
        <w:rPr>
          <w:rFonts w:hint="eastAsia"/>
        </w:rPr>
        <w:t>言</w:t>
      </w:r>
      <w:r>
        <w:tab/>
      </w:r>
      <w:r>
        <w:fldChar w:fldCharType="begin"/>
      </w:r>
      <w:r>
        <w:instrText xml:space="preserve"> PAGEREF _Toc8383 </w:instrText>
      </w:r>
      <w:r>
        <w:fldChar w:fldCharType="separate"/>
      </w:r>
      <w:r>
        <w:t>III</w:t>
      </w:r>
      <w:r>
        <w:fldChar w:fldCharType="end"/>
      </w:r>
      <w:r>
        <w:rPr>
          <w:rFonts w:hint="default"/>
          <w:lang w:val="en-US"/>
        </w:rPr>
        <w:fldChar w:fldCharType="end"/>
      </w:r>
      <w:r>
        <w:rPr>
          <w:rFonts w:hint="eastAsia"/>
          <w:lang w:val="en-US" w:eastAsia="zh-CN"/>
        </w:rPr>
        <w:t>I</w:t>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_Toc24284 </w:instrText>
      </w:r>
      <w:r>
        <w:rPr>
          <w:rFonts w:hint="default"/>
          <w:lang w:val="en-US"/>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_Toc24284 </w:instrText>
      </w:r>
      <w:r>
        <w:fldChar w:fldCharType="separate"/>
      </w:r>
      <w:r>
        <w:t>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_Toc32620 </w:instrText>
      </w:r>
      <w:r>
        <w:rPr>
          <w:rFonts w:hint="default"/>
          <w:lang w:val="en-US"/>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_Toc32620 </w:instrText>
      </w:r>
      <w:r>
        <w:fldChar w:fldCharType="separate"/>
      </w:r>
      <w:r>
        <w:t>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_Toc30259 </w:instrText>
      </w:r>
      <w:r>
        <w:rPr>
          <w:rFonts w:hint="default"/>
          <w:lang w:val="en-US"/>
        </w:rPr>
        <w:fldChar w:fldCharType="separate"/>
      </w:r>
      <w:r>
        <w:rPr>
          <w:rFonts w:hint="eastAsia" w:ascii="黑体" w:hAnsi="Times New Roman" w:eastAsia="黑体"/>
          <w:i w:val="0"/>
          <w:szCs w:val="21"/>
        </w:rPr>
        <w:t xml:space="preserve">3 </w:t>
      </w:r>
      <w:r>
        <w:rPr>
          <w:rFonts w:hint="eastAsia"/>
          <w:lang w:val="en-US" w:eastAsia="zh-CN"/>
        </w:rPr>
        <w:t>术语和定义</w:t>
      </w:r>
      <w:r>
        <w:tab/>
      </w:r>
      <w:r>
        <w:fldChar w:fldCharType="begin"/>
      </w:r>
      <w:r>
        <w:instrText xml:space="preserve"> PAGEREF _Toc30259 </w:instrText>
      </w:r>
      <w:r>
        <w:fldChar w:fldCharType="separate"/>
      </w:r>
      <w:r>
        <w:t>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_Toc3305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3.1 </w:t>
      </w:r>
      <w:r>
        <w:rPr>
          <w:rFonts w:hint="eastAsia"/>
          <w:lang w:val="en-US" w:eastAsia="zh-CN"/>
        </w:rPr>
        <w:t>AIGE评价模型</w:t>
      </w:r>
      <w:r>
        <w:tab/>
      </w:r>
      <w:r>
        <w:fldChar w:fldCharType="begin"/>
      </w:r>
      <w:r>
        <w:instrText xml:space="preserve"> PAGEREF _Toc3305 </w:instrText>
      </w:r>
      <w:r>
        <w:fldChar w:fldCharType="separate"/>
      </w:r>
      <w:r>
        <w:t>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_Toc2641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3.2 </w:t>
      </w:r>
      <w:r>
        <w:rPr>
          <w:rFonts w:hint="eastAsia"/>
          <w:lang w:val="en-US" w:eastAsia="zh-CN"/>
        </w:rPr>
        <w:t>豁免项</w:t>
      </w:r>
      <w:r>
        <w:tab/>
      </w:r>
      <w:r>
        <w:fldChar w:fldCharType="begin"/>
      </w:r>
      <w:r>
        <w:instrText xml:space="preserve"> PAGEREF _Toc2641 </w:instrText>
      </w:r>
      <w:r>
        <w:fldChar w:fldCharType="separate"/>
      </w:r>
      <w:r>
        <w:t>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_Toc30063 </w:instrText>
      </w:r>
      <w:r>
        <w:rPr>
          <w:rFonts w:hint="default"/>
          <w:lang w:val="en-US"/>
        </w:rPr>
        <w:fldChar w:fldCharType="separate"/>
      </w:r>
      <w:r>
        <w:rPr>
          <w:rFonts w:hint="eastAsia" w:ascii="黑体" w:hAnsi="Times New Roman" w:eastAsia="黑体"/>
          <w:i w:val="0"/>
          <w:szCs w:val="21"/>
          <w:lang w:val="en-US" w:eastAsia="zh-CN"/>
        </w:rPr>
        <w:t xml:space="preserve">4 </w:t>
      </w:r>
      <w:r>
        <w:rPr>
          <w:rFonts w:hint="eastAsia"/>
          <w:szCs w:val="22"/>
          <w:lang w:val="en-US" w:eastAsia="zh-CN"/>
        </w:rPr>
        <w:t>基本原则</w:t>
      </w:r>
      <w:r>
        <w:tab/>
      </w:r>
      <w:r>
        <w:fldChar w:fldCharType="begin"/>
      </w:r>
      <w:r>
        <w:instrText xml:space="preserve"> PAGEREF _Toc30063 </w:instrText>
      </w:r>
      <w:r>
        <w:fldChar w:fldCharType="separate"/>
      </w:r>
      <w:r>
        <w:t>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_Toc21063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4.1 </w:t>
      </w:r>
      <w:r>
        <w:rPr>
          <w:rFonts w:hint="eastAsia"/>
          <w:lang w:val="en-US" w:eastAsia="zh-CN"/>
        </w:rPr>
        <w:t>基于公正的态度</w:t>
      </w:r>
      <w:r>
        <w:tab/>
      </w:r>
      <w:r>
        <w:fldChar w:fldCharType="begin"/>
      </w:r>
      <w:r>
        <w:instrText xml:space="preserve"> PAGEREF _Toc21063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_Toc18582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4.2 </w:t>
      </w:r>
      <w:r>
        <w:rPr>
          <w:rFonts w:hint="eastAsia"/>
          <w:lang w:val="en-US" w:eastAsia="zh-CN"/>
        </w:rPr>
        <w:t>基于客观的方法</w:t>
      </w:r>
      <w:r>
        <w:tab/>
      </w:r>
      <w:r>
        <w:fldChar w:fldCharType="begin"/>
      </w:r>
      <w:r>
        <w:instrText xml:space="preserve"> PAGEREF _Toc18582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_Toc18646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4.3 </w:t>
      </w:r>
      <w:r>
        <w:rPr>
          <w:rFonts w:hint="eastAsia"/>
          <w:lang w:val="en-US" w:eastAsia="zh-CN"/>
        </w:rPr>
        <w:t>基于证据的方法</w:t>
      </w:r>
      <w:r>
        <w:tab/>
      </w:r>
      <w:r>
        <w:fldChar w:fldCharType="begin"/>
      </w:r>
      <w:r>
        <w:instrText xml:space="preserve"> PAGEREF _Toc18646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_Toc16769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4.4 </w:t>
      </w:r>
      <w:r>
        <w:rPr>
          <w:rFonts w:hint="eastAsia"/>
          <w:lang w:val="en-US" w:eastAsia="zh-CN"/>
        </w:rPr>
        <w:t>基于风险的方法</w:t>
      </w:r>
      <w:r>
        <w:tab/>
      </w:r>
      <w:r>
        <w:fldChar w:fldCharType="begin"/>
      </w:r>
      <w:r>
        <w:instrText xml:space="preserve"> PAGEREF _Toc16769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_Toc17005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4.5 </w:t>
      </w:r>
      <w:r>
        <w:rPr>
          <w:rFonts w:hint="eastAsia"/>
          <w:lang w:val="en-US" w:eastAsia="zh-CN"/>
        </w:rPr>
        <w:t>基于闭环的方法</w:t>
      </w:r>
      <w:r>
        <w:tab/>
      </w:r>
      <w:r>
        <w:fldChar w:fldCharType="begin"/>
      </w:r>
      <w:r>
        <w:instrText xml:space="preserve"> PAGEREF _Toc17005 </w:instrText>
      </w:r>
      <w:r>
        <w:fldChar w:fldCharType="separate"/>
      </w:r>
      <w:r>
        <w:t>2</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_Toc14678 </w:instrText>
      </w:r>
      <w:r>
        <w:rPr>
          <w:rFonts w:hint="default"/>
          <w:lang w:val="en-US"/>
        </w:rPr>
        <w:fldChar w:fldCharType="separate"/>
      </w:r>
      <w:r>
        <w:rPr>
          <w:rFonts w:hint="eastAsia" w:ascii="黑体" w:hAnsi="Times New Roman" w:eastAsia="黑体"/>
          <w:i w:val="0"/>
          <w:szCs w:val="21"/>
          <w:lang w:val="en-US" w:eastAsia="zh-CN"/>
        </w:rPr>
        <w:t xml:space="preserve">5 </w:t>
      </w:r>
      <w:r>
        <w:rPr>
          <w:rFonts w:hint="eastAsia"/>
          <w:szCs w:val="22"/>
          <w:lang w:val="en-US" w:eastAsia="zh-CN"/>
        </w:rPr>
        <w:t>基本要求</w:t>
      </w:r>
      <w:r>
        <w:tab/>
      </w:r>
      <w:r>
        <w:fldChar w:fldCharType="begin"/>
      </w:r>
      <w:r>
        <w:instrText xml:space="preserve"> PAGEREF _Toc14678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_Toc30789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 </w:t>
      </w:r>
      <w:r>
        <w:rPr>
          <w:rFonts w:hint="eastAsia"/>
          <w:highlight w:val="none"/>
          <w:lang w:val="en-US" w:eastAsia="zh-CN"/>
        </w:rPr>
        <w:t>评价方式</w:t>
      </w:r>
      <w:r>
        <w:tab/>
      </w:r>
      <w:r>
        <w:fldChar w:fldCharType="begin"/>
      </w:r>
      <w:r>
        <w:instrText xml:space="preserve"> PAGEREF _Toc30789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_Toc24166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5.2 </w:t>
      </w:r>
      <w:r>
        <w:rPr>
          <w:rFonts w:hint="eastAsia"/>
          <w:highlight w:val="none"/>
          <w:lang w:val="en-US" w:eastAsia="zh-CN"/>
        </w:rPr>
        <w:t>评价形式</w:t>
      </w:r>
      <w:r>
        <w:tab/>
      </w:r>
      <w:r>
        <w:fldChar w:fldCharType="begin"/>
      </w:r>
      <w:r>
        <w:instrText xml:space="preserve"> PAGEREF _Toc24166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_Toc22883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5.3 </w:t>
      </w:r>
      <w:r>
        <w:rPr>
          <w:rFonts w:hint="eastAsia"/>
          <w:highlight w:val="none"/>
          <w:lang w:val="en-US" w:eastAsia="zh-CN"/>
        </w:rPr>
        <w:t>评价条件</w:t>
      </w:r>
      <w:r>
        <w:tab/>
      </w:r>
      <w:r>
        <w:fldChar w:fldCharType="begin"/>
      </w:r>
      <w:r>
        <w:instrText xml:space="preserve"> PAGEREF _Toc22883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_Toc23995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5.4 </w:t>
      </w:r>
      <w:r>
        <w:rPr>
          <w:rFonts w:hint="eastAsia"/>
          <w:highlight w:val="none"/>
          <w:lang w:val="en-US" w:eastAsia="zh-CN"/>
        </w:rPr>
        <w:t>评价方法</w:t>
      </w:r>
      <w:r>
        <w:tab/>
      </w:r>
      <w:r>
        <w:fldChar w:fldCharType="begin"/>
      </w:r>
      <w:r>
        <w:instrText xml:space="preserve"> PAGEREF _Toc23995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_Toc14457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5.5 </w:t>
      </w:r>
      <w:r>
        <w:rPr>
          <w:rFonts w:hint="eastAsia"/>
          <w:szCs w:val="22"/>
          <w:lang w:val="en-US" w:eastAsia="zh-CN"/>
        </w:rPr>
        <w:t>评价</w:t>
      </w:r>
      <w:r>
        <w:rPr>
          <w:rFonts w:hint="eastAsia"/>
          <w:highlight w:val="none"/>
          <w:lang w:val="en-US" w:eastAsia="zh-CN"/>
        </w:rPr>
        <w:t>人员</w:t>
      </w:r>
      <w:r>
        <w:tab/>
      </w:r>
      <w:r>
        <w:fldChar w:fldCharType="begin"/>
      </w:r>
      <w:r>
        <w:instrText xml:space="preserve"> PAGEREF _Toc14457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_Toc23007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5.6 </w:t>
      </w:r>
      <w:r>
        <w:rPr>
          <w:rFonts w:hint="eastAsia"/>
          <w:szCs w:val="22"/>
          <w:lang w:val="en-US" w:eastAsia="zh-CN"/>
        </w:rPr>
        <w:t>评价</w:t>
      </w:r>
      <w:r>
        <w:rPr>
          <w:rFonts w:hint="eastAsia"/>
          <w:highlight w:val="none"/>
          <w:lang w:val="en-US" w:eastAsia="zh-CN"/>
        </w:rPr>
        <w:t>周期</w:t>
      </w:r>
      <w:r>
        <w:tab/>
      </w:r>
      <w:r>
        <w:fldChar w:fldCharType="begin"/>
      </w:r>
      <w:r>
        <w:instrText xml:space="preserve"> PAGEREF _Toc23007 </w:instrText>
      </w:r>
      <w:r>
        <w:fldChar w:fldCharType="separate"/>
      </w:r>
      <w:r>
        <w:t>3</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_Toc26111 </w:instrText>
      </w:r>
      <w:r>
        <w:rPr>
          <w:rFonts w:hint="default"/>
          <w:lang w:val="en-US"/>
        </w:rPr>
        <w:fldChar w:fldCharType="separate"/>
      </w:r>
      <w:r>
        <w:rPr>
          <w:rFonts w:hint="eastAsia" w:ascii="黑体" w:hAnsi="Times New Roman" w:eastAsia="黑体"/>
          <w:i w:val="0"/>
          <w:szCs w:val="21"/>
          <w:lang w:val="en-US" w:eastAsia="zh-CN"/>
        </w:rPr>
        <w:t xml:space="preserve">6 </w:t>
      </w:r>
      <w:r>
        <w:rPr>
          <w:rFonts w:hint="eastAsia"/>
          <w:szCs w:val="22"/>
          <w:lang w:val="en-US" w:eastAsia="zh-CN"/>
        </w:rPr>
        <w:t>认可评定</w:t>
      </w:r>
      <w:r>
        <w:tab/>
      </w:r>
      <w:r>
        <w:fldChar w:fldCharType="begin"/>
      </w:r>
      <w:r>
        <w:instrText xml:space="preserve"> PAGEREF _Toc26111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_Toc8475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6.1 </w:t>
      </w:r>
      <w:r>
        <w:rPr>
          <w:rFonts w:hint="eastAsia"/>
          <w:lang w:val="en-US" w:eastAsia="zh-CN"/>
        </w:rPr>
        <w:t>赋分计分</w:t>
      </w:r>
      <w:r>
        <w:tab/>
      </w:r>
      <w:r>
        <w:fldChar w:fldCharType="begin"/>
      </w:r>
      <w:r>
        <w:instrText xml:space="preserve"> PAGEREF _Toc8475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_Toc26246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6.2 </w:t>
      </w:r>
      <w:r>
        <w:rPr>
          <w:rFonts w:hint="eastAsia"/>
          <w:lang w:val="en-US" w:eastAsia="zh-CN"/>
        </w:rPr>
        <w:t>认定评价</w:t>
      </w:r>
      <w:r>
        <w:tab/>
      </w:r>
      <w:r>
        <w:fldChar w:fldCharType="begin"/>
      </w:r>
      <w:r>
        <w:instrText xml:space="preserve"> PAGEREF _Toc26246 </w:instrText>
      </w:r>
      <w:r>
        <w:fldChar w:fldCharType="separate"/>
      </w:r>
      <w:r>
        <w:t>6</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_Toc19835 </w:instrText>
      </w:r>
      <w:r>
        <w:rPr>
          <w:rFonts w:hint="default"/>
          <w:lang w:val="en-US"/>
        </w:rPr>
        <w:fldChar w:fldCharType="separate"/>
      </w:r>
      <w:r>
        <w:rPr>
          <w:rFonts w:hint="eastAsia" w:ascii="黑体" w:hAnsi="Times New Roman" w:eastAsia="黑体"/>
          <w:i w:val="0"/>
          <w:szCs w:val="21"/>
          <w:lang w:val="en-US" w:eastAsia="zh-CN"/>
        </w:rPr>
        <w:t xml:space="preserve">7 </w:t>
      </w:r>
      <w:r>
        <w:rPr>
          <w:rFonts w:hint="eastAsia"/>
          <w:szCs w:val="22"/>
          <w:lang w:val="en-US" w:eastAsia="zh-CN"/>
        </w:rPr>
        <w:t>评价程序</w:t>
      </w:r>
      <w:r>
        <w:tab/>
      </w:r>
      <w:r>
        <w:fldChar w:fldCharType="begin"/>
      </w:r>
      <w:r>
        <w:instrText xml:space="preserve"> PAGEREF _Toc19835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_Toc7313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highlight w:val="none"/>
          <w:lang w:val="en-US" w:eastAsia="zh-CN"/>
        </w:rPr>
        <w:t>申请评价</w:t>
      </w:r>
      <w:r>
        <w:tab/>
      </w:r>
      <w:r>
        <w:fldChar w:fldCharType="begin"/>
      </w:r>
      <w:r>
        <w:instrText xml:space="preserve"> PAGEREF _Toc7313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_Toc26910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highlight w:val="none"/>
          <w:lang w:val="en-US" w:eastAsia="zh-CN"/>
        </w:rPr>
        <w:t>组织评价</w:t>
      </w:r>
      <w:r>
        <w:tab/>
      </w:r>
      <w:r>
        <w:fldChar w:fldCharType="begin"/>
      </w:r>
      <w:r>
        <w:instrText xml:space="preserve"> PAGEREF _Toc26910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_Toc17657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highlight w:val="none"/>
          <w:lang w:val="en-US" w:eastAsia="zh-CN"/>
        </w:rPr>
        <w:t>评价结果</w:t>
      </w:r>
      <w:r>
        <w:tab/>
      </w:r>
      <w:r>
        <w:fldChar w:fldCharType="begin"/>
      </w:r>
      <w:r>
        <w:instrText xml:space="preserve"> PAGEREF _Toc17657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_Toc26949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7.4 </w:t>
      </w:r>
      <w:r>
        <w:rPr>
          <w:rFonts w:hint="eastAsia"/>
          <w:highlight w:val="none"/>
          <w:lang w:val="en-US" w:eastAsia="zh-CN"/>
        </w:rPr>
        <w:t>出具报告</w:t>
      </w:r>
      <w:r>
        <w:tab/>
      </w:r>
      <w:r>
        <w:fldChar w:fldCharType="begin"/>
      </w:r>
      <w:r>
        <w:instrText xml:space="preserve"> PAGEREF _Toc26949 </w:instrText>
      </w:r>
      <w:r>
        <w:fldChar w:fldCharType="separate"/>
      </w:r>
      <w:r>
        <w:t>10</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_Toc19174 </w:instrText>
      </w:r>
      <w:r>
        <w:rPr>
          <w:rFonts w:hint="default"/>
          <w:lang w:val="en-US"/>
        </w:rPr>
        <w:fldChar w:fldCharType="separate"/>
      </w:r>
      <w:r>
        <w:rPr>
          <w:rFonts w:hint="eastAsia"/>
          <w:szCs w:val="22"/>
          <w:lang w:val="en-US" w:eastAsia="zh-CN"/>
        </w:rPr>
        <w:t>附录A 参考文献</w:t>
      </w:r>
      <w:r>
        <w:tab/>
      </w:r>
      <w:r>
        <w:fldChar w:fldCharType="begin"/>
      </w:r>
      <w:r>
        <w:instrText xml:space="preserve"> PAGEREF _Toc19174 </w:instrText>
      </w:r>
      <w:r>
        <w:fldChar w:fldCharType="separate"/>
      </w:r>
      <w:r>
        <w:t>11</w:t>
      </w:r>
      <w:r>
        <w:fldChar w:fldCharType="end"/>
      </w:r>
      <w:r>
        <w:rPr>
          <w:rFonts w:hint="default"/>
          <w:lang w:val="en-US"/>
        </w:rPr>
        <w:fldChar w:fldCharType="end"/>
      </w:r>
    </w:p>
    <w:p>
      <w:pPr>
        <w:pStyle w:val="21"/>
        <w:rPr>
          <w:rFonts w:hint="default"/>
          <w:lang w:val="en-US"/>
        </w:rPr>
      </w:pPr>
      <w:r>
        <w:rPr>
          <w:rFonts w:hint="default"/>
          <w:lang w:val="en-US"/>
        </w:rPr>
        <w:fldChar w:fldCharType="end"/>
      </w:r>
    </w:p>
    <w:p>
      <w:pPr>
        <w:pStyle w:val="88"/>
        <w:rPr>
          <w:rFonts w:hint="eastAsia"/>
        </w:rPr>
      </w:pPr>
      <w:bookmarkStart w:id="8" w:name="_Toc531104067"/>
      <w:bookmarkStart w:id="9" w:name="_Toc882"/>
      <w:bookmarkStart w:id="10" w:name="_Toc28870"/>
      <w:r>
        <w:rPr>
          <w:rFonts w:hint="eastAsia"/>
        </w:rPr>
        <w:t>前</w:t>
      </w:r>
      <w:bookmarkStart w:id="11" w:name="BKQY"/>
      <w:r>
        <w:rPr>
          <w:rFonts w:hAnsi="黑体"/>
        </w:rPr>
        <w:t>  </w:t>
      </w:r>
      <w:r>
        <w:rPr>
          <w:rFonts w:hint="eastAsia"/>
        </w:rPr>
        <w:t>言</w:t>
      </w:r>
      <w:bookmarkEnd w:id="2"/>
      <w:bookmarkEnd w:id="3"/>
      <w:bookmarkEnd w:id="4"/>
      <w:bookmarkEnd w:id="5"/>
      <w:bookmarkEnd w:id="6"/>
      <w:bookmarkEnd w:id="8"/>
      <w:bookmarkEnd w:id="9"/>
      <w:bookmarkEnd w:id="10"/>
      <w:bookmarkEnd w:id="11"/>
    </w:p>
    <w:p>
      <w:pPr>
        <w:pStyle w:val="21"/>
        <w:rPr>
          <w:rFonts w:hint="eastAsia"/>
        </w:rPr>
      </w:pPr>
      <w:r>
        <w:rPr>
          <w:rFonts w:hint="eastAsia"/>
        </w:rPr>
        <w:t>本</w:t>
      </w:r>
      <w:r>
        <w:rPr>
          <w:rFonts w:hint="eastAsia"/>
          <w:lang w:val="en-US" w:eastAsia="zh-CN"/>
        </w:rPr>
        <w:t>文件</w:t>
      </w:r>
      <w:r>
        <w:rPr>
          <w:rFonts w:hint="eastAsia"/>
        </w:rPr>
        <w:t>按照GB/T 1.1-20</w:t>
      </w:r>
      <w:r>
        <w:rPr>
          <w:rFonts w:hint="eastAsia"/>
          <w:lang w:val="en-US" w:eastAsia="zh-CN"/>
        </w:rPr>
        <w:t>20</w:t>
      </w:r>
      <w:r>
        <w:rPr>
          <w:rFonts w:hint="eastAsia"/>
        </w:rPr>
        <w:t xml:space="preserve"> 《标准化工作导则 第1部分：标准</w:t>
      </w:r>
      <w:r>
        <w:rPr>
          <w:rFonts w:hint="eastAsia"/>
          <w:lang w:val="en-US" w:eastAsia="zh-CN"/>
        </w:rPr>
        <w:t>化文件</w:t>
      </w:r>
      <w:r>
        <w:rPr>
          <w:rFonts w:hint="eastAsia"/>
        </w:rPr>
        <w:t>的结构和</w:t>
      </w:r>
      <w:r>
        <w:rPr>
          <w:rFonts w:hint="eastAsia"/>
          <w:lang w:val="en-US" w:eastAsia="zh-CN"/>
        </w:rPr>
        <w:t>起草规则</w:t>
      </w:r>
      <w:r>
        <w:rPr>
          <w:rFonts w:hint="eastAsia"/>
        </w:rPr>
        <w:t>》</w:t>
      </w:r>
      <w:r>
        <w:rPr>
          <w:rFonts w:hint="eastAsia"/>
          <w:lang w:val="en-US" w:eastAsia="zh-CN"/>
        </w:rPr>
        <w:t>及GB/T 20001.7-2017《标准编写规则 第7部分：指南标准》的规定</w:t>
      </w:r>
      <w:r>
        <w:rPr>
          <w:rFonts w:hint="eastAsia"/>
        </w:rPr>
        <w:t>起草。</w:t>
      </w:r>
    </w:p>
    <w:p>
      <w:pPr>
        <w:pStyle w:val="21"/>
        <w:rPr>
          <w:rFonts w:hint="eastAsia"/>
          <w:color w:val="auto"/>
        </w:rPr>
      </w:pPr>
      <w:r>
        <w:rPr>
          <w:rFonts w:hint="eastAsia" w:ascii="宋体" w:hAnsi="宋体" w:cs="ËÎÌå"/>
          <w:color w:val="auto"/>
          <w:kern w:val="0"/>
          <w:szCs w:val="21"/>
          <w:lang w:eastAsia="zh-CN"/>
        </w:rPr>
        <w:t>请注意</w:t>
      </w:r>
      <w:r>
        <w:rPr>
          <w:rFonts w:hint="eastAsia" w:ascii="宋体" w:hAnsi="宋体" w:cs="ËÎÌå"/>
          <w:color w:val="auto"/>
          <w:kern w:val="0"/>
          <w:szCs w:val="21"/>
        </w:rPr>
        <w:t>本文件的某些内容可能涉及专利。本文件的发布机构不承担识别专利的责任。</w:t>
      </w:r>
    </w:p>
    <w:p>
      <w:pPr>
        <w:autoSpaceDE w:val="0"/>
        <w:autoSpaceDN w:val="0"/>
        <w:adjustRightInd w:val="0"/>
        <w:ind w:firstLine="420" w:firstLineChars="200"/>
        <w:rPr>
          <w:rFonts w:ascii="宋体" w:hAnsi="宋体" w:cs="宋体"/>
          <w:color w:val="auto"/>
          <w:kern w:val="0"/>
          <w:szCs w:val="21"/>
        </w:rPr>
      </w:pPr>
      <w:r>
        <w:rPr>
          <w:rFonts w:hint="eastAsia" w:ascii="宋体" w:hAnsi="宋体" w:cs="宋体"/>
          <w:color w:val="auto"/>
          <w:kern w:val="0"/>
          <w:szCs w:val="21"/>
        </w:rPr>
        <w:t>本文件由</w:t>
      </w:r>
      <w:r>
        <w:rPr>
          <w:rFonts w:hint="eastAsia"/>
          <w:highlight w:val="none"/>
          <w:lang w:val="en-US" w:eastAsia="zh-CN"/>
        </w:rPr>
        <w:t>广东元韬企业管理咨询有限公司</w:t>
      </w:r>
      <w:r>
        <w:rPr>
          <w:rFonts w:hint="eastAsia" w:ascii="宋体" w:hAnsi="宋体" w:cs="宋体"/>
          <w:color w:val="auto"/>
          <w:kern w:val="0"/>
          <w:szCs w:val="21"/>
        </w:rPr>
        <w:t>提出。</w:t>
      </w:r>
    </w:p>
    <w:p>
      <w:pPr>
        <w:pStyle w:val="21"/>
        <w:rPr>
          <w:rFonts w:hint="eastAsia"/>
        </w:rPr>
      </w:pPr>
      <w:r>
        <w:rPr>
          <w:rFonts w:hint="eastAsia"/>
        </w:rPr>
        <w:t>本</w:t>
      </w:r>
      <w:r>
        <w:rPr>
          <w:rFonts w:hint="eastAsia"/>
          <w:lang w:val="en-US" w:eastAsia="zh-CN"/>
        </w:rPr>
        <w:t>文件</w:t>
      </w:r>
      <w:r>
        <w:rPr>
          <w:rFonts w:hint="eastAsia"/>
        </w:rPr>
        <w:t>由</w:t>
      </w:r>
      <w:r>
        <w:rPr>
          <w:rFonts w:hint="eastAsia"/>
          <w:lang w:val="en-US" w:eastAsia="zh-CN"/>
        </w:rPr>
        <w:t>广东省企业管理咨询协</w:t>
      </w:r>
      <w:r>
        <w:rPr>
          <w:rFonts w:hint="eastAsia"/>
        </w:rPr>
        <w:t>会</w:t>
      </w:r>
      <w:r>
        <w:rPr>
          <w:rFonts w:hint="eastAsia" w:ascii="宋体" w:hAnsi="宋体" w:cs="宋体"/>
          <w:color w:val="auto"/>
          <w:kern w:val="0"/>
          <w:szCs w:val="21"/>
        </w:rPr>
        <w:t>归口</w:t>
      </w:r>
      <w:r>
        <w:rPr>
          <w:rFonts w:hint="eastAsia"/>
        </w:rPr>
        <w:t>。</w:t>
      </w:r>
    </w:p>
    <w:p>
      <w:pPr>
        <w:pStyle w:val="21"/>
        <w:rPr>
          <w:rFonts w:hint="default"/>
          <w:highlight w:val="none"/>
          <w:lang w:val="en-US"/>
        </w:rPr>
      </w:pPr>
      <w:r>
        <w:rPr>
          <w:rFonts w:hint="eastAsia"/>
          <w:highlight w:val="none"/>
        </w:rPr>
        <w:t>本</w:t>
      </w:r>
      <w:r>
        <w:rPr>
          <w:rFonts w:hint="eastAsia"/>
          <w:highlight w:val="none"/>
          <w:lang w:val="en-US" w:eastAsia="zh-CN"/>
        </w:rPr>
        <w:t>文件</w:t>
      </w:r>
      <w:r>
        <w:rPr>
          <w:rFonts w:hint="eastAsia"/>
          <w:highlight w:val="none"/>
        </w:rPr>
        <w:t>起草</w:t>
      </w:r>
      <w:r>
        <w:rPr>
          <w:rFonts w:hint="eastAsia"/>
          <w:highlight w:val="none"/>
          <w:lang w:val="en-US" w:eastAsia="zh-CN"/>
        </w:rPr>
        <w:t>单位</w:t>
      </w:r>
      <w:r>
        <w:rPr>
          <w:rFonts w:hint="eastAsia"/>
          <w:highlight w:val="none"/>
        </w:rPr>
        <w:t>：</w:t>
      </w:r>
      <w:r>
        <w:rPr>
          <w:rFonts w:hint="eastAsia"/>
          <w:highlight w:val="none"/>
          <w:lang w:val="en-US" w:eastAsia="zh-CN"/>
        </w:rPr>
        <w:t>广东元韬企业管理咨询有限公司、广州策佳企业管理咨询有限公司、中科国际认证（广东）有限公司、中国安能集团第一工程局、</w:t>
      </w:r>
      <w:bookmarkStart w:id="77" w:name="_GoBack"/>
      <w:bookmarkEnd w:id="77"/>
      <w:r>
        <w:rPr>
          <w:rFonts w:hint="eastAsia"/>
          <w:highlight w:val="none"/>
          <w:lang w:val="en-US" w:eastAsia="zh-CN"/>
        </w:rPr>
        <w:t>广州市建鋐建筑技术咨询有限公司</w:t>
      </w:r>
    </w:p>
    <w:p>
      <w:pPr>
        <w:pStyle w:val="21"/>
        <w:rPr>
          <w:rFonts w:hint="default"/>
          <w:highlight w:val="none"/>
          <w:lang w:val="en-US" w:eastAsia="zh-CN"/>
        </w:rPr>
      </w:pPr>
      <w:r>
        <w:rPr>
          <w:rFonts w:hint="eastAsia"/>
          <w:highlight w:val="none"/>
        </w:rPr>
        <w:t>本</w:t>
      </w:r>
      <w:r>
        <w:rPr>
          <w:rFonts w:hint="eastAsia"/>
          <w:highlight w:val="none"/>
          <w:lang w:val="en-US" w:eastAsia="zh-CN"/>
        </w:rPr>
        <w:t>文件</w:t>
      </w:r>
      <w:r>
        <w:rPr>
          <w:rFonts w:hint="eastAsia"/>
          <w:highlight w:val="none"/>
        </w:rPr>
        <w:t>主要起草人：</w:t>
      </w:r>
      <w:r>
        <w:rPr>
          <w:rFonts w:hint="eastAsia"/>
          <w:highlight w:val="none"/>
          <w:lang w:val="en-US" w:eastAsia="zh-CN"/>
        </w:rPr>
        <w:t>黄涛、陈勇达、</w:t>
      </w:r>
      <w:r>
        <w:rPr>
          <w:rFonts w:hint="eastAsia"/>
          <w:highlight w:val="none"/>
        </w:rPr>
        <w:t>熊德甫、郑爱惜、龙建新、詹博</w:t>
      </w:r>
      <w:r>
        <w:rPr>
          <w:rFonts w:hint="eastAsia"/>
          <w:highlight w:val="none"/>
          <w:lang w:eastAsia="zh-CN"/>
        </w:rPr>
        <w:t>、</w:t>
      </w:r>
      <w:r>
        <w:rPr>
          <w:rFonts w:hint="eastAsia"/>
          <w:highlight w:val="none"/>
          <w:lang w:val="en-US" w:eastAsia="zh-CN"/>
        </w:rPr>
        <w:t>刘浩然、周毅、郑源、皇甫学真、张明辉、黄中广、曾建军、赵玉鄂、马建军</w:t>
      </w:r>
    </w:p>
    <w:p>
      <w:pPr>
        <w:autoSpaceDE w:val="0"/>
        <w:autoSpaceDN w:val="0"/>
        <w:adjustRightInd w:val="0"/>
        <w:ind w:firstLine="420" w:firstLineChars="200"/>
        <w:jc w:val="left"/>
        <w:rPr>
          <w:rFonts w:hint="eastAsia"/>
        </w:rPr>
      </w:pPr>
      <w:r>
        <w:rPr>
          <w:rFonts w:hint="eastAsia"/>
        </w:rPr>
        <w:t>本</w:t>
      </w:r>
      <w:r>
        <w:rPr>
          <w:rFonts w:hint="eastAsia"/>
          <w:lang w:val="en-US" w:eastAsia="zh-CN"/>
        </w:rPr>
        <w:t>文件</w:t>
      </w:r>
      <w:r>
        <w:rPr>
          <w:rFonts w:hint="eastAsia"/>
        </w:rPr>
        <w:t>为首次发布。</w:t>
      </w:r>
    </w:p>
    <w:p>
      <w:pPr>
        <w:pStyle w:val="21"/>
        <w:rPr>
          <w:rFonts w:hint="eastAsia"/>
        </w:rPr>
      </w:pPr>
    </w:p>
    <w:p>
      <w:pPr>
        <w:pStyle w:val="21"/>
        <w:rPr>
          <w:rFonts w:hint="default"/>
          <w:lang w:val="en-US" w:eastAsia="zh-CN"/>
        </w:rPr>
      </w:pPr>
    </w:p>
    <w:p>
      <w:pPr>
        <w:pStyle w:val="88"/>
        <w:rPr>
          <w:rFonts w:hint="eastAsia"/>
        </w:rPr>
      </w:pPr>
      <w:bookmarkStart w:id="12" w:name="_Toc8383"/>
      <w:r>
        <w:rPr>
          <w:rFonts w:hint="eastAsia"/>
          <w:lang w:val="en-US" w:eastAsia="zh-CN"/>
        </w:rPr>
        <w:t>引</w:t>
      </w:r>
      <w:r>
        <w:rPr>
          <w:rFonts w:hAnsi="黑体"/>
        </w:rPr>
        <w:t>  </w:t>
      </w:r>
      <w:r>
        <w:rPr>
          <w:rFonts w:hint="eastAsia"/>
        </w:rPr>
        <w:t>言</w:t>
      </w:r>
      <w:bookmarkEnd w:id="12"/>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本文件与《安全与风险综合管理体系》（T/GZX 001-2021）配套使用。</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本文件包含了企业可用于实施安全与风险综合管理体系符合性评价并进行等级认定的要求。</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 xml:space="preserve">本文件基于《安全与风险综合管理体系》（T/GZX 001-2021）与其他管理体系有共同的结构、相同的核心要求以及共同的术语和定义，旨在提供更通用的等级认定评价指南，以量化的评价结果为企业全业务、全过程和全绩效的分析提供充分的输入，有助于识别改进需求和活动，达到持续改进、系统实现安全管理绩效的目的。 </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 xml:space="preserve">本文件适用于广泛的潜在使用者，包括评价人员、实施管理体系的企业和出于合同或法规原因需要进行管理体系等级认定评价的企业。 </w:t>
      </w:r>
    </w:p>
    <w:p>
      <w:pPr>
        <w:keepNext w:val="0"/>
        <w:keepLines w:val="0"/>
        <w:widowControl/>
        <w:suppressLineNumbers w:val="0"/>
        <w:ind w:firstLine="420" w:firstLineChars="200"/>
        <w:jc w:val="left"/>
        <w:rPr>
          <w:rFonts w:hint="default" w:ascii="宋体" w:cs="Times New Roman"/>
          <w:kern w:val="0"/>
          <w:sz w:val="21"/>
          <w:szCs w:val="22"/>
          <w:lang w:val="en-US" w:eastAsia="zh-CN" w:bidi="ar-SA"/>
        </w:rPr>
      </w:pPr>
      <w:r>
        <w:rPr>
          <w:rFonts w:hint="eastAsia" w:ascii="宋体" w:cs="Times New Roman"/>
          <w:kern w:val="0"/>
          <w:sz w:val="21"/>
          <w:szCs w:val="22"/>
          <w:lang w:val="en-US" w:eastAsia="zh-CN" w:bidi="ar-SA"/>
        </w:rPr>
        <w:t>本文件也可用于自我声明的目的，并且可对从事评价人员培训或等级认定的企业提供帮助。</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当进行一体化审核时，即两个或多个不同领域的管理体系一起审核时，本文件采用多体系审核兼评价的方法。</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 xml:space="preserve">当两个或多个不同领域的管理体系整合到单一的管理体系中时，评价的原则和过程与多体系审核相同。 </w:t>
      </w:r>
    </w:p>
    <w:p>
      <w:pPr>
        <w:keepNext w:val="0"/>
        <w:keepLines w:val="0"/>
        <w:widowControl/>
        <w:suppressLineNumbers w:val="0"/>
        <w:ind w:firstLine="420" w:firstLineChars="200"/>
        <w:jc w:val="left"/>
        <w:rPr>
          <w:rFonts w:hint="default" w:ascii="宋体" w:cs="Times New Roman"/>
          <w:kern w:val="0"/>
          <w:sz w:val="21"/>
          <w:szCs w:val="22"/>
          <w:lang w:val="en-US" w:eastAsia="zh-CN" w:bidi="ar-SA"/>
        </w:rPr>
      </w:pPr>
      <w:r>
        <w:rPr>
          <w:rFonts w:hint="eastAsia" w:ascii="宋体" w:cs="Times New Roman"/>
          <w:kern w:val="0"/>
          <w:sz w:val="21"/>
          <w:szCs w:val="22"/>
          <w:lang w:val="en-US" w:eastAsia="zh-CN" w:bidi="ar-SA"/>
        </w:rPr>
        <w:t>若存在多体系审核或联合审核的情况下，则其他体系按照相对应的审核要求开展，不在本文件适用范围内。</w:t>
      </w:r>
    </w:p>
    <w:p>
      <w:pPr>
        <w:autoSpaceDE w:val="0"/>
        <w:autoSpaceDN w:val="0"/>
        <w:adjustRightInd w:val="0"/>
        <w:ind w:firstLine="420" w:firstLineChars="200"/>
        <w:jc w:val="left"/>
        <w:rPr>
          <w:rFonts w:hint="eastAsia"/>
          <w:lang w:val="en-US" w:eastAsia="zh-CN"/>
        </w:rPr>
      </w:pPr>
    </w:p>
    <w:p>
      <w:pPr>
        <w:pStyle w:val="96"/>
        <w:jc w:val="both"/>
        <w:rPr>
          <w:rFonts w:hint="eastAsia"/>
          <w:lang w:val="en-US" w:eastAsia="zh-CN"/>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96"/>
        <w:rPr>
          <w:rFonts w:hint="default" w:eastAsia="黑体"/>
          <w:lang w:val="en-US" w:eastAsia="zh-CN"/>
        </w:rPr>
      </w:pPr>
      <w:r>
        <w:rPr>
          <w:rFonts w:hint="eastAsia"/>
          <w:lang w:val="en-US" w:eastAsia="zh-CN"/>
        </w:rPr>
        <w:t>安全与风险综合管理体系 等级认定评价指南</w:t>
      </w:r>
    </w:p>
    <w:p>
      <w:pPr>
        <w:pStyle w:val="94"/>
        <w:rPr>
          <w:rFonts w:hint="eastAsia"/>
        </w:rPr>
      </w:pPr>
      <w:bookmarkStart w:id="13" w:name="_Toc24284"/>
      <w:bookmarkStart w:id="14" w:name="_Toc4267"/>
      <w:bookmarkStart w:id="15" w:name="_Toc17495"/>
      <w:r>
        <w:rPr>
          <w:rFonts w:hint="eastAsia"/>
        </w:rPr>
        <w:t>范围</w:t>
      </w:r>
      <w:bookmarkEnd w:id="13"/>
      <w:bookmarkEnd w:id="14"/>
      <w:bookmarkEnd w:id="15"/>
    </w:p>
    <w:p>
      <w:pPr>
        <w:keepNext w:val="0"/>
        <w:keepLines w:val="0"/>
        <w:widowControl/>
        <w:suppressLineNumbers w:val="0"/>
        <w:ind w:firstLine="420" w:firstLineChars="200"/>
        <w:jc w:val="left"/>
        <w:rPr>
          <w:rFonts w:hint="eastAsia" w:ascii="宋体" w:hAnsi="Times New Roman" w:eastAsia="宋体" w:cs="Times New Roman"/>
          <w:kern w:val="0"/>
          <w:sz w:val="21"/>
          <w:szCs w:val="22"/>
          <w:lang w:val="en-US" w:eastAsia="zh-CN" w:bidi="ar-SA"/>
        </w:rPr>
      </w:pPr>
      <w:bookmarkStart w:id="16" w:name="_Toc16577"/>
      <w:r>
        <w:rPr>
          <w:rFonts w:hint="eastAsia" w:ascii="宋体" w:hAnsi="Times New Roman" w:eastAsia="宋体" w:cs="Times New Roman"/>
          <w:kern w:val="0"/>
          <w:sz w:val="21"/>
          <w:szCs w:val="22"/>
          <w:lang w:val="en-US" w:eastAsia="zh-CN" w:bidi="ar-SA"/>
        </w:rPr>
        <w:t>本</w:t>
      </w:r>
      <w:r>
        <w:rPr>
          <w:rFonts w:hint="eastAsia" w:ascii="宋体" w:cs="Times New Roman"/>
          <w:kern w:val="0"/>
          <w:sz w:val="21"/>
          <w:szCs w:val="22"/>
          <w:lang w:val="en-US" w:eastAsia="zh-CN" w:bidi="ar-SA"/>
        </w:rPr>
        <w:t>文件规定了安全与风险综合管理体系等级认定评价指南的基本原则</w:t>
      </w:r>
      <w:r>
        <w:rPr>
          <w:rFonts w:hint="eastAsia" w:ascii="宋体" w:hAnsi="Times New Roman" w:eastAsia="宋体" w:cs="Times New Roman"/>
          <w:kern w:val="0"/>
          <w:sz w:val="21"/>
          <w:szCs w:val="22"/>
          <w:lang w:val="en-US" w:eastAsia="zh-CN" w:bidi="ar-SA"/>
        </w:rPr>
        <w:t>、</w:t>
      </w:r>
      <w:r>
        <w:rPr>
          <w:rFonts w:hint="eastAsia" w:ascii="宋体" w:cs="Times New Roman"/>
          <w:kern w:val="0"/>
          <w:sz w:val="21"/>
          <w:szCs w:val="22"/>
          <w:lang w:val="en-US" w:eastAsia="zh-CN" w:bidi="ar-SA"/>
        </w:rPr>
        <w:t>基本要求、认可评定、评价程序等内容</w:t>
      </w:r>
      <w:r>
        <w:rPr>
          <w:rFonts w:hint="eastAsia" w:ascii="宋体" w:hAnsi="Times New Roman" w:eastAsia="宋体" w:cs="Times New Roman"/>
          <w:kern w:val="0"/>
          <w:sz w:val="21"/>
          <w:szCs w:val="22"/>
          <w:lang w:val="en-US" w:eastAsia="zh-CN" w:bidi="ar-SA"/>
        </w:rPr>
        <w:t xml:space="preserve">。 </w:t>
      </w:r>
    </w:p>
    <w:p>
      <w:pPr>
        <w:keepNext w:val="0"/>
        <w:keepLines w:val="0"/>
        <w:widowControl/>
        <w:suppressLineNumbers w:val="0"/>
        <w:ind w:firstLine="420" w:firstLineChars="200"/>
        <w:jc w:val="left"/>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本</w:t>
      </w:r>
      <w:r>
        <w:rPr>
          <w:rFonts w:hint="eastAsia" w:ascii="宋体" w:cs="Times New Roman"/>
          <w:kern w:val="0"/>
          <w:sz w:val="21"/>
          <w:szCs w:val="22"/>
          <w:lang w:val="en-US" w:eastAsia="zh-CN" w:bidi="ar-SA"/>
        </w:rPr>
        <w:t>文件</w:t>
      </w:r>
      <w:r>
        <w:rPr>
          <w:rFonts w:hint="eastAsia" w:ascii="宋体" w:hAnsi="Times New Roman" w:eastAsia="宋体" w:cs="Times New Roman"/>
          <w:kern w:val="0"/>
          <w:sz w:val="21"/>
          <w:szCs w:val="22"/>
          <w:lang w:val="en-US" w:eastAsia="zh-CN" w:bidi="ar-SA"/>
        </w:rPr>
        <w:t>适用于</w:t>
      </w:r>
      <w:r>
        <w:rPr>
          <w:rFonts w:hint="eastAsia" w:ascii="宋体" w:cs="Times New Roman"/>
          <w:kern w:val="0"/>
          <w:sz w:val="21"/>
          <w:szCs w:val="22"/>
          <w:lang w:val="en-US" w:eastAsia="zh-CN" w:bidi="ar-SA"/>
        </w:rPr>
        <w:t>安全与风险综合管理体系的等级认定评价工作</w:t>
      </w:r>
      <w:r>
        <w:rPr>
          <w:rFonts w:hint="eastAsia" w:ascii="宋体" w:hAnsi="Times New Roman" w:eastAsia="宋体" w:cs="Times New Roman"/>
          <w:kern w:val="0"/>
          <w:sz w:val="21"/>
          <w:szCs w:val="22"/>
          <w:lang w:val="en-US" w:eastAsia="zh-CN" w:bidi="ar-SA"/>
        </w:rPr>
        <w:t xml:space="preserve">。 </w:t>
      </w:r>
    </w:p>
    <w:p>
      <w:pPr>
        <w:pStyle w:val="94"/>
        <w:rPr>
          <w:rFonts w:hint="eastAsia"/>
        </w:rPr>
      </w:pPr>
      <w:bookmarkStart w:id="17" w:name="_Toc10102"/>
      <w:bookmarkStart w:id="18" w:name="_Toc32620"/>
      <w:r>
        <w:rPr>
          <w:rFonts w:hint="eastAsia"/>
        </w:rPr>
        <w:t>规范性引用文件</w:t>
      </w:r>
      <w:bookmarkEnd w:id="16"/>
      <w:bookmarkEnd w:id="17"/>
      <w:bookmarkEnd w:id="18"/>
    </w:p>
    <w:p>
      <w:pPr>
        <w:pStyle w:val="21"/>
        <w:rPr>
          <w:rFonts w:hint="eastAsia" w:ascii="宋体" w:hAnsi="Calibri" w:eastAsia="宋体" w:cs="Times New Roman"/>
          <w:szCs w:val="22"/>
          <w:lang w:val="en-US" w:eastAsia="zh-CN"/>
        </w:rPr>
      </w:pPr>
      <w:bookmarkStart w:id="19" w:name="_Toc14490"/>
      <w:r>
        <w:rPr>
          <w:rFonts w:hint="eastAsia" w:ascii="宋体" w:hAnsi="Calibri" w:eastAsia="宋体" w:cs="Times New Roman"/>
          <w:szCs w:val="22"/>
        </w:rPr>
        <w:t>下列文件对于本文件的应用是必不可少的。凡是注日期的引用文件，仅所注日期的版本适用于本文件。凡是不注日期的引用文件，其最新版本（包括所有的修改单）适用于本文件</w:t>
      </w:r>
      <w:r>
        <w:rPr>
          <w:rFonts w:hint="eastAsia" w:ascii="宋体" w:hAnsi="Calibri" w:eastAsia="宋体" w:cs="Times New Roman"/>
          <w:szCs w:val="22"/>
          <w:lang w:val="en-US" w:eastAsia="zh-CN"/>
        </w:rPr>
        <w:t>。</w:t>
      </w:r>
    </w:p>
    <w:p>
      <w:pPr>
        <w:pStyle w:val="21"/>
        <w:rPr>
          <w:rFonts w:hint="eastAsia"/>
          <w:szCs w:val="22"/>
          <w:lang w:val="en-US" w:eastAsia="zh-CN"/>
        </w:rPr>
      </w:pPr>
      <w:r>
        <w:rPr>
          <w:rFonts w:hint="eastAsia"/>
          <w:szCs w:val="22"/>
          <w:lang w:val="en-US" w:eastAsia="zh-CN"/>
        </w:rPr>
        <w:t>GB 6441-86 企业职工伤亡事故分类标准</w:t>
      </w:r>
    </w:p>
    <w:p>
      <w:pPr>
        <w:pStyle w:val="21"/>
        <w:rPr>
          <w:rFonts w:hint="eastAsia"/>
          <w:szCs w:val="22"/>
          <w:lang w:val="en-US" w:eastAsia="zh-CN"/>
        </w:rPr>
      </w:pPr>
      <w:r>
        <w:rPr>
          <w:rFonts w:hint="eastAsia"/>
          <w:szCs w:val="22"/>
          <w:lang w:val="en-US" w:eastAsia="zh-CN"/>
        </w:rPr>
        <w:t>生产安全事故报告和调查处理条例 （国务院令第493号）</w:t>
      </w:r>
    </w:p>
    <w:p>
      <w:pPr>
        <w:pStyle w:val="21"/>
        <w:rPr>
          <w:rFonts w:hint="default"/>
          <w:szCs w:val="22"/>
          <w:lang w:val="en-US" w:eastAsia="zh-CN"/>
        </w:rPr>
      </w:pPr>
      <w:r>
        <w:rPr>
          <w:rFonts w:hint="eastAsia"/>
          <w:szCs w:val="22"/>
          <w:lang w:val="en-US" w:eastAsia="zh-CN"/>
        </w:rPr>
        <w:t>GB/T 19011 管理体系审核指南</w:t>
      </w:r>
    </w:p>
    <w:p>
      <w:pPr>
        <w:pStyle w:val="21"/>
        <w:rPr>
          <w:rFonts w:hint="eastAsia" w:ascii="宋体" w:hAnsi="Calibri" w:eastAsia="宋体" w:cs="Times New Roman"/>
          <w:szCs w:val="22"/>
          <w:lang w:val="en-US" w:eastAsia="zh-CN"/>
        </w:rPr>
      </w:pPr>
      <w:r>
        <w:rPr>
          <w:rFonts w:hint="eastAsia" w:hAnsi="Calibri" w:cs="Times New Roman"/>
          <w:szCs w:val="22"/>
          <w:lang w:val="en-US" w:eastAsia="zh-CN"/>
        </w:rPr>
        <w:t>T/GZX 001-2021</w:t>
      </w:r>
      <w:r>
        <w:rPr>
          <w:rFonts w:hint="eastAsia" w:ascii="宋体" w:hAnsi="Calibri" w:eastAsia="宋体" w:cs="Times New Roman"/>
          <w:szCs w:val="22"/>
          <w:lang w:val="en-US" w:eastAsia="zh-CN"/>
        </w:rPr>
        <w:t xml:space="preserve"> 安全与风险综合管理体系</w:t>
      </w:r>
    </w:p>
    <w:p>
      <w:pPr>
        <w:pStyle w:val="94"/>
        <w:rPr>
          <w:rFonts w:hint="eastAsia"/>
        </w:rPr>
      </w:pPr>
      <w:bookmarkStart w:id="20" w:name="_Toc30259"/>
      <w:bookmarkStart w:id="21" w:name="_Toc17702"/>
      <w:r>
        <w:rPr>
          <w:rFonts w:hint="eastAsia"/>
          <w:lang w:val="en-US" w:eastAsia="zh-CN"/>
        </w:rPr>
        <w:t>术语和定义</w:t>
      </w:r>
      <w:bookmarkEnd w:id="19"/>
      <w:bookmarkEnd w:id="20"/>
      <w:bookmarkEnd w:id="21"/>
    </w:p>
    <w:p>
      <w:pPr>
        <w:pStyle w:val="21"/>
        <w:rPr>
          <w:rFonts w:hint="eastAsia" w:ascii="宋体" w:hAnsi="Calibri" w:eastAsia="宋体" w:cs="Times New Roman"/>
          <w:szCs w:val="22"/>
          <w:lang w:val="en-US" w:eastAsia="zh-CN"/>
        </w:rPr>
      </w:pPr>
      <w:r>
        <w:rPr>
          <w:rFonts w:hint="eastAsia" w:ascii="宋体" w:hAnsi="Calibri" w:eastAsia="宋体" w:cs="Times New Roman"/>
          <w:szCs w:val="22"/>
          <w:lang w:val="en-US" w:eastAsia="zh-CN"/>
        </w:rPr>
        <w:t>GB/T 19011界定的以及下列术语和定义适用于本标准。</w:t>
      </w:r>
    </w:p>
    <w:p>
      <w:pPr>
        <w:pStyle w:val="51"/>
        <w:bidi w:val="0"/>
        <w:ind w:left="0" w:leftChars="0" w:firstLine="0" w:firstLineChars="0"/>
        <w:rPr>
          <w:rFonts w:hint="eastAsia"/>
          <w:lang w:val="en-US" w:eastAsia="zh-CN"/>
        </w:rPr>
      </w:pPr>
      <w:bookmarkStart w:id="22" w:name="_Toc3305"/>
      <w:bookmarkStart w:id="23" w:name="_Toc22877"/>
      <w:r>
        <w:rPr>
          <w:rFonts w:hint="eastAsia"/>
          <w:lang w:val="en-US" w:eastAsia="zh-CN"/>
        </w:rPr>
        <w:t>AIGE评价模型</w:t>
      </w:r>
      <w:bookmarkEnd w:id="22"/>
      <w:bookmarkEnd w:id="23"/>
    </w:p>
    <w:p>
      <w:pPr>
        <w:pStyle w:val="21"/>
        <w:rPr>
          <w:rFonts w:hint="default"/>
          <w:szCs w:val="18"/>
          <w:vertAlign w:val="baseline"/>
          <w:lang w:val="en-US" w:eastAsia="zh-CN"/>
        </w:rPr>
      </w:pPr>
      <w:r>
        <w:rPr>
          <w:rFonts w:hint="eastAsia"/>
          <w:szCs w:val="18"/>
          <w:vertAlign w:val="baseline"/>
          <w:lang w:val="en-US" w:eastAsia="zh-CN"/>
        </w:rPr>
        <w:t>AIGE评价模型是以策划-实施-差距-影响的英文首字母进行组合并作为简称，用于评价单个要素或体系的实际运转效果。该模型针对单个要素从策划、实施、差距、影响四个环节进行打分，通过其分配比例得出单个要素的实际得分，所有要素的实际得分相加之和用于反映体系的实际运转效果。通过AIGE评价模型进行评价，评价结果也可反映单个要素或体系在策划、实施、差距、影响四个环节的优势或不足。</w:t>
      </w:r>
    </w:p>
    <w:p>
      <w:pPr>
        <w:pStyle w:val="21"/>
        <w:numPr>
          <w:ilvl w:val="0"/>
          <w:numId w:val="18"/>
        </w:numPr>
        <w:rPr>
          <w:rFonts w:hint="eastAsia"/>
          <w:szCs w:val="22"/>
          <w:lang w:val="en-US" w:eastAsia="zh-CN"/>
        </w:rPr>
      </w:pPr>
      <w:r>
        <w:rPr>
          <w:rFonts w:hint="eastAsia"/>
          <w:szCs w:val="22"/>
          <w:lang w:val="en-US" w:eastAsia="zh-CN"/>
        </w:rPr>
        <w:t>A（arrange）-策划：协调、匹配工作所需资源，建立标准落地所需的成文信息。</w:t>
      </w:r>
    </w:p>
    <w:p>
      <w:pPr>
        <w:pStyle w:val="21"/>
        <w:numPr>
          <w:ilvl w:val="0"/>
          <w:numId w:val="18"/>
        </w:numPr>
        <w:rPr>
          <w:rFonts w:hint="default"/>
          <w:szCs w:val="22"/>
          <w:lang w:val="en-US" w:eastAsia="zh-CN"/>
        </w:rPr>
      </w:pPr>
      <w:r>
        <w:rPr>
          <w:rFonts w:hint="default"/>
          <w:szCs w:val="22"/>
          <w:lang w:val="en-US" w:eastAsia="zh-CN"/>
        </w:rPr>
        <w:t>I</w:t>
      </w:r>
      <w:r>
        <w:rPr>
          <w:rFonts w:hint="eastAsia"/>
          <w:szCs w:val="22"/>
          <w:lang w:val="en-US" w:eastAsia="zh-CN"/>
        </w:rPr>
        <w:t>（</w:t>
      </w:r>
      <w:r>
        <w:rPr>
          <w:rFonts w:hint="default"/>
          <w:szCs w:val="22"/>
          <w:lang w:val="en-US" w:eastAsia="zh-CN"/>
        </w:rPr>
        <w:t>implement</w:t>
      </w:r>
      <w:r>
        <w:rPr>
          <w:rFonts w:hint="eastAsia"/>
          <w:szCs w:val="22"/>
          <w:lang w:val="en-US" w:eastAsia="zh-CN"/>
        </w:rPr>
        <w:t>）-实施：执行所策划的过程。</w:t>
      </w:r>
    </w:p>
    <w:p>
      <w:pPr>
        <w:pStyle w:val="21"/>
        <w:numPr>
          <w:ilvl w:val="0"/>
          <w:numId w:val="18"/>
        </w:numPr>
        <w:rPr>
          <w:rFonts w:hint="default"/>
          <w:szCs w:val="22"/>
          <w:lang w:val="en-US" w:eastAsia="zh-CN"/>
        </w:rPr>
      </w:pPr>
      <w:r>
        <w:rPr>
          <w:rFonts w:hint="default"/>
          <w:szCs w:val="22"/>
          <w:lang w:val="en-US" w:eastAsia="zh-CN"/>
        </w:rPr>
        <w:t>G</w:t>
      </w:r>
      <w:r>
        <w:rPr>
          <w:rFonts w:hint="eastAsia"/>
          <w:szCs w:val="22"/>
          <w:lang w:val="en-US" w:eastAsia="zh-CN"/>
        </w:rPr>
        <w:t>（</w:t>
      </w:r>
      <w:r>
        <w:rPr>
          <w:rFonts w:hint="default"/>
          <w:szCs w:val="22"/>
          <w:lang w:val="en-US" w:eastAsia="zh-CN"/>
        </w:rPr>
        <w:t>gap</w:t>
      </w:r>
      <w:r>
        <w:rPr>
          <w:rFonts w:hint="eastAsia"/>
          <w:szCs w:val="22"/>
          <w:lang w:val="en-US" w:eastAsia="zh-CN"/>
        </w:rPr>
        <w:t>）-差距：对实施过程进行检查，并将检查结果与运行准则进行对比后存在的客观事实。</w:t>
      </w:r>
    </w:p>
    <w:p>
      <w:pPr>
        <w:pStyle w:val="21"/>
        <w:numPr>
          <w:ilvl w:val="0"/>
          <w:numId w:val="18"/>
        </w:numPr>
        <w:rPr>
          <w:rFonts w:hint="eastAsia"/>
          <w:szCs w:val="22"/>
          <w:lang w:val="en-US" w:eastAsia="zh-CN"/>
        </w:rPr>
      </w:pPr>
      <w:r>
        <w:rPr>
          <w:rFonts w:hint="eastAsia"/>
          <w:szCs w:val="22"/>
          <w:lang w:val="en-US" w:eastAsia="zh-CN"/>
        </w:rPr>
        <w:t>E（effect）-影响：根据差距后果进行评估，采取措施以持续改进，以消除或降低不利影响，增强并扩大有利影响。</w:t>
      </w:r>
    </w:p>
    <w:p>
      <w:pPr>
        <w:pStyle w:val="51"/>
        <w:bidi w:val="0"/>
        <w:ind w:left="0" w:leftChars="0" w:firstLine="0" w:firstLineChars="0"/>
        <w:rPr>
          <w:rFonts w:hint="eastAsia"/>
          <w:lang w:val="en-US" w:eastAsia="zh-CN"/>
        </w:rPr>
      </w:pPr>
      <w:bookmarkStart w:id="24" w:name="_Toc2641"/>
      <w:bookmarkStart w:id="25" w:name="_Toc19861"/>
      <w:r>
        <w:rPr>
          <w:rFonts w:hint="eastAsia"/>
          <w:lang w:val="en-US" w:eastAsia="zh-CN"/>
        </w:rPr>
        <w:t>豁免项</w:t>
      </w:r>
      <w:bookmarkEnd w:id="24"/>
      <w:bookmarkEnd w:id="25"/>
    </w:p>
    <w:p>
      <w:pPr>
        <w:pStyle w:val="21"/>
        <w:rPr>
          <w:rFonts w:hint="eastAsia" w:ascii="宋体" w:eastAsia="宋体" w:cs="Times New Roman"/>
          <w:sz w:val="21"/>
          <w:szCs w:val="22"/>
          <w:lang w:val="en-US" w:eastAsia="zh-CN" w:bidi="ar-SA"/>
        </w:rPr>
      </w:pPr>
      <w:r>
        <w:rPr>
          <w:rFonts w:hint="eastAsia"/>
          <w:lang w:val="en-US" w:eastAsia="zh-CN"/>
        </w:rPr>
        <w:t>基于企业经营范围和实际运营需要，将不适用要素事先进行说明，并在</w:t>
      </w:r>
      <w:r>
        <w:rPr>
          <w:rFonts w:hint="eastAsia" w:ascii="宋体" w:eastAsia="宋体" w:cs="Times New Roman"/>
          <w:sz w:val="21"/>
          <w:szCs w:val="22"/>
          <w:lang w:val="en-US" w:eastAsia="zh-CN" w:bidi="ar-SA"/>
        </w:rPr>
        <w:t>体系建设</w:t>
      </w:r>
      <w:r>
        <w:rPr>
          <w:rFonts w:hint="eastAsia" w:cs="Times New Roman"/>
          <w:sz w:val="21"/>
          <w:szCs w:val="22"/>
          <w:lang w:val="en-US" w:eastAsia="zh-CN" w:bidi="ar-SA"/>
        </w:rPr>
        <w:t>和等级认定评价</w:t>
      </w:r>
      <w:r>
        <w:rPr>
          <w:rFonts w:hint="eastAsia" w:ascii="宋体" w:eastAsia="宋体" w:cs="Times New Roman"/>
          <w:sz w:val="21"/>
          <w:szCs w:val="22"/>
          <w:lang w:val="en-US" w:eastAsia="zh-CN" w:bidi="ar-SA"/>
        </w:rPr>
        <w:t>中进行</w:t>
      </w:r>
      <w:r>
        <w:rPr>
          <w:rFonts w:hint="eastAsia" w:cs="Times New Roman"/>
          <w:sz w:val="21"/>
          <w:szCs w:val="22"/>
          <w:lang w:val="en-US" w:eastAsia="zh-CN" w:bidi="ar-SA"/>
        </w:rPr>
        <w:t>该项</w:t>
      </w:r>
      <w:r>
        <w:rPr>
          <w:rFonts w:hint="eastAsia" w:ascii="宋体" w:eastAsia="宋体" w:cs="Times New Roman"/>
          <w:sz w:val="21"/>
          <w:szCs w:val="22"/>
          <w:lang w:val="en-US" w:eastAsia="zh-CN" w:bidi="ar-SA"/>
        </w:rPr>
        <w:t>豁免。</w:t>
      </w:r>
    </w:p>
    <w:p>
      <w:pPr>
        <w:pStyle w:val="21"/>
        <w:rPr>
          <w:rFonts w:hint="default" w:ascii="宋体" w:eastAsia="宋体" w:cs="Times New Roman"/>
          <w:sz w:val="21"/>
          <w:szCs w:val="22"/>
          <w:lang w:val="en-US" w:eastAsia="zh-CN" w:bidi="ar-SA"/>
        </w:rPr>
      </w:pPr>
      <w:r>
        <w:rPr>
          <w:rFonts w:hint="eastAsia" w:cs="Times New Roman"/>
          <w:sz w:val="21"/>
          <w:szCs w:val="22"/>
          <w:lang w:val="en-US" w:eastAsia="zh-CN" w:bidi="ar-SA"/>
        </w:rPr>
        <w:t>但影响安全与风险综合管理体系运行效果及责任的相关要素不得豁免，比如风险管理、隐患管理等单元要素。</w:t>
      </w:r>
    </w:p>
    <w:p>
      <w:pPr>
        <w:pStyle w:val="94"/>
        <w:rPr>
          <w:rFonts w:hint="eastAsia"/>
          <w:szCs w:val="22"/>
          <w:lang w:val="en-US" w:eastAsia="zh-CN"/>
        </w:rPr>
      </w:pPr>
      <w:bookmarkStart w:id="26" w:name="_Toc30063"/>
      <w:bookmarkStart w:id="27" w:name="_Toc13381"/>
      <w:r>
        <w:rPr>
          <w:rFonts w:hint="eastAsia"/>
          <w:szCs w:val="22"/>
          <w:lang w:val="en-US" w:eastAsia="zh-CN"/>
        </w:rPr>
        <w:t>基本原则</w:t>
      </w:r>
      <w:bookmarkEnd w:id="26"/>
      <w:bookmarkEnd w:id="27"/>
    </w:p>
    <w:p>
      <w:pPr>
        <w:pStyle w:val="51"/>
        <w:bidi w:val="0"/>
        <w:ind w:left="0" w:leftChars="0" w:firstLine="0" w:firstLineChars="0"/>
        <w:rPr>
          <w:rFonts w:hint="default"/>
          <w:lang w:val="en-US" w:eastAsia="zh-CN"/>
        </w:rPr>
      </w:pPr>
      <w:bookmarkStart w:id="28" w:name="_Toc21063"/>
      <w:bookmarkStart w:id="29" w:name="_Toc29784"/>
      <w:r>
        <w:rPr>
          <w:rFonts w:hint="eastAsia"/>
          <w:lang w:val="en-US" w:eastAsia="zh-CN"/>
        </w:rPr>
        <w:t>基于公正的态度</w:t>
      </w:r>
      <w:bookmarkEnd w:id="28"/>
      <w:bookmarkEnd w:id="29"/>
    </w:p>
    <w:p>
      <w:pPr>
        <w:pStyle w:val="21"/>
        <w:numPr>
          <w:ilvl w:val="0"/>
          <w:numId w:val="0"/>
        </w:numPr>
        <w:ind w:firstLine="420" w:firstLineChars="200"/>
        <w:rPr>
          <w:rFonts w:hint="default"/>
          <w:szCs w:val="22"/>
          <w:lang w:val="en-US" w:eastAsia="zh-CN"/>
        </w:rPr>
      </w:pPr>
      <w:r>
        <w:rPr>
          <w:rFonts w:hint="eastAsia"/>
          <w:szCs w:val="22"/>
          <w:lang w:val="en-US" w:eastAsia="zh-CN"/>
        </w:rPr>
        <w:t>评价员在工作过程中应抱持公正的态度，并：</w:t>
      </w:r>
    </w:p>
    <w:p>
      <w:pPr>
        <w:pStyle w:val="21"/>
        <w:numPr>
          <w:ilvl w:val="0"/>
          <w:numId w:val="19"/>
        </w:numPr>
        <w:rPr>
          <w:rFonts w:hint="eastAsia"/>
          <w:szCs w:val="22"/>
          <w:lang w:val="en-US" w:eastAsia="zh-CN"/>
        </w:rPr>
      </w:pPr>
      <w:r>
        <w:rPr>
          <w:rFonts w:hint="eastAsia"/>
          <w:szCs w:val="22"/>
          <w:lang w:val="en-US" w:eastAsia="zh-CN"/>
        </w:rPr>
        <w:t>具有判断力，不受外来因素影响，对可能影响其判断的任何因素保持警觉。</w:t>
      </w:r>
    </w:p>
    <w:p>
      <w:pPr>
        <w:pStyle w:val="21"/>
        <w:numPr>
          <w:ilvl w:val="0"/>
          <w:numId w:val="19"/>
        </w:numPr>
        <w:rPr>
          <w:rFonts w:hint="eastAsia"/>
          <w:szCs w:val="22"/>
          <w:lang w:val="en-US" w:eastAsia="zh-CN"/>
        </w:rPr>
      </w:pPr>
      <w:r>
        <w:rPr>
          <w:rFonts w:hint="eastAsia"/>
          <w:szCs w:val="22"/>
          <w:lang w:val="en-US" w:eastAsia="zh-CN"/>
        </w:rPr>
        <w:t>真实、客观、准确反映评价情况。</w:t>
      </w:r>
    </w:p>
    <w:p>
      <w:pPr>
        <w:pStyle w:val="21"/>
        <w:numPr>
          <w:ilvl w:val="0"/>
          <w:numId w:val="19"/>
        </w:numPr>
        <w:rPr>
          <w:rFonts w:hint="eastAsia"/>
          <w:szCs w:val="22"/>
          <w:lang w:val="en-US" w:eastAsia="zh-CN"/>
        </w:rPr>
      </w:pPr>
      <w:r>
        <w:rPr>
          <w:rFonts w:hint="eastAsia"/>
          <w:szCs w:val="22"/>
          <w:lang w:val="en-US" w:eastAsia="zh-CN"/>
        </w:rPr>
        <w:t>谨慎使用和保护评价过程中获得的信息，并正确处理敏感或保密的信息。</w:t>
      </w:r>
    </w:p>
    <w:p>
      <w:pPr>
        <w:pStyle w:val="51"/>
        <w:bidi w:val="0"/>
        <w:ind w:left="0" w:leftChars="0" w:firstLine="0" w:firstLineChars="0"/>
        <w:rPr>
          <w:rFonts w:hint="default"/>
          <w:lang w:val="en-US" w:eastAsia="zh-CN"/>
        </w:rPr>
      </w:pPr>
      <w:bookmarkStart w:id="30" w:name="_Toc23849"/>
      <w:bookmarkStart w:id="31" w:name="_Toc18582"/>
      <w:r>
        <w:rPr>
          <w:rFonts w:hint="eastAsia"/>
          <w:lang w:val="en-US" w:eastAsia="zh-CN"/>
        </w:rPr>
        <w:t>基于客观的方法</w:t>
      </w:r>
      <w:bookmarkEnd w:id="30"/>
      <w:bookmarkEnd w:id="31"/>
    </w:p>
    <w:p>
      <w:pPr>
        <w:pStyle w:val="21"/>
        <w:numPr>
          <w:ilvl w:val="0"/>
          <w:numId w:val="0"/>
        </w:numPr>
        <w:rPr>
          <w:rFonts w:hint="default"/>
          <w:szCs w:val="22"/>
          <w:lang w:val="en-US" w:eastAsia="zh-CN"/>
        </w:rPr>
      </w:pPr>
      <w:r>
        <w:rPr>
          <w:rFonts w:hint="eastAsia"/>
          <w:szCs w:val="22"/>
          <w:lang w:val="en-US" w:eastAsia="zh-CN"/>
        </w:rPr>
        <w:t xml:space="preserve">    在评价过程中，客观是评价公正性的基础，评价员应：</w:t>
      </w:r>
    </w:p>
    <w:p>
      <w:pPr>
        <w:pStyle w:val="21"/>
        <w:numPr>
          <w:ilvl w:val="0"/>
          <w:numId w:val="20"/>
        </w:numPr>
        <w:rPr>
          <w:rFonts w:hint="eastAsia"/>
          <w:szCs w:val="22"/>
          <w:lang w:val="en-US" w:eastAsia="zh-CN"/>
        </w:rPr>
      </w:pPr>
      <w:r>
        <w:rPr>
          <w:rFonts w:hint="eastAsia"/>
          <w:szCs w:val="22"/>
          <w:lang w:val="en-US" w:eastAsia="zh-CN"/>
        </w:rPr>
        <w:t>保持独立性，独立于受评价的活动，并且在任何情况下不带偏见，不偏不倚，与受评价企业没有利益上的冲突。</w:t>
      </w:r>
    </w:p>
    <w:p>
      <w:pPr>
        <w:pStyle w:val="21"/>
        <w:numPr>
          <w:ilvl w:val="0"/>
          <w:numId w:val="20"/>
        </w:numPr>
        <w:rPr>
          <w:rFonts w:hint="eastAsia"/>
          <w:szCs w:val="22"/>
          <w:lang w:val="en-US" w:eastAsia="zh-CN"/>
        </w:rPr>
      </w:pPr>
      <w:r>
        <w:rPr>
          <w:rFonts w:hint="eastAsia"/>
          <w:szCs w:val="22"/>
          <w:lang w:val="en-US" w:eastAsia="zh-CN"/>
        </w:rPr>
        <w:t xml:space="preserve">保持客观性，以确保评价发现和评价结论仅建立在评价证据的基础上。 </w:t>
      </w:r>
    </w:p>
    <w:p>
      <w:pPr>
        <w:pStyle w:val="21"/>
        <w:numPr>
          <w:ilvl w:val="0"/>
          <w:numId w:val="20"/>
        </w:numPr>
        <w:rPr>
          <w:rFonts w:hint="eastAsia"/>
          <w:szCs w:val="22"/>
          <w:lang w:val="en-US" w:eastAsia="zh-CN"/>
        </w:rPr>
      </w:pPr>
      <w:r>
        <w:rPr>
          <w:rFonts w:hint="eastAsia"/>
          <w:szCs w:val="22"/>
          <w:lang w:val="en-US" w:eastAsia="zh-CN"/>
        </w:rPr>
        <w:t xml:space="preserve">保持谨慎性，在被评价对象提供的成文信息或口头信息不完备或不能核实的情况下，不贸然发表个人主观意见或建议。 </w:t>
      </w:r>
    </w:p>
    <w:p>
      <w:pPr>
        <w:pStyle w:val="51"/>
        <w:bidi w:val="0"/>
        <w:ind w:left="0" w:leftChars="0" w:firstLine="0" w:firstLineChars="0"/>
        <w:rPr>
          <w:rFonts w:hint="eastAsia"/>
          <w:lang w:val="en-US" w:eastAsia="zh-CN"/>
        </w:rPr>
      </w:pPr>
      <w:bookmarkStart w:id="32" w:name="_Toc18646"/>
      <w:bookmarkStart w:id="33" w:name="_Toc22349"/>
      <w:r>
        <w:rPr>
          <w:rFonts w:hint="eastAsia"/>
          <w:lang w:val="en-US" w:eastAsia="zh-CN"/>
        </w:rPr>
        <w:t>基于证据的方法</w:t>
      </w:r>
      <w:bookmarkEnd w:id="32"/>
      <w:bookmarkEnd w:id="33"/>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在评价过程中，基于证据的方法是</w:t>
      </w:r>
      <w:r>
        <w:rPr>
          <w:rFonts w:hint="eastAsia" w:ascii="宋体" w:hAnsi="宋体" w:eastAsia="宋体" w:cs="宋体"/>
          <w:color w:val="000000"/>
          <w:kern w:val="0"/>
          <w:sz w:val="21"/>
          <w:szCs w:val="21"/>
          <w:lang w:val="en-US" w:eastAsia="zh-CN" w:bidi="ar"/>
        </w:rPr>
        <w:t>得出可信的和可重现的</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结论的合理的方法</w:t>
      </w:r>
      <w:r>
        <w:rPr>
          <w:rFonts w:hint="eastAsia" w:ascii="宋体" w:hAnsi="宋体" w:cs="宋体"/>
          <w:color w:val="000000"/>
          <w:kern w:val="0"/>
          <w:sz w:val="21"/>
          <w:szCs w:val="21"/>
          <w:lang w:val="en-US" w:eastAsia="zh-CN" w:bidi="ar"/>
        </w:rPr>
        <w:t>，评价证据应：</w:t>
      </w:r>
      <w:r>
        <w:rPr>
          <w:rFonts w:hint="eastAsia" w:ascii="宋体" w:hAnsi="宋体" w:eastAsia="宋体" w:cs="宋体"/>
          <w:color w:val="000000"/>
          <w:kern w:val="0"/>
          <w:sz w:val="21"/>
          <w:szCs w:val="21"/>
          <w:lang w:val="en-US" w:eastAsia="zh-CN" w:bidi="ar"/>
        </w:rPr>
        <w:t xml:space="preserve"> </w:t>
      </w:r>
    </w:p>
    <w:p>
      <w:pPr>
        <w:pStyle w:val="21"/>
        <w:numPr>
          <w:ilvl w:val="0"/>
          <w:numId w:val="21"/>
        </w:numPr>
        <w:rPr>
          <w:rFonts w:hint="eastAsia"/>
          <w:szCs w:val="22"/>
          <w:lang w:val="en-US" w:eastAsia="zh-CN"/>
        </w:rPr>
      </w:pPr>
      <w:r>
        <w:rPr>
          <w:rFonts w:hint="eastAsia"/>
          <w:szCs w:val="22"/>
          <w:lang w:val="en-US" w:eastAsia="zh-CN"/>
        </w:rPr>
        <w:t>建立在可获得信息的样本的基础上。</w:t>
      </w:r>
    </w:p>
    <w:p>
      <w:pPr>
        <w:pStyle w:val="21"/>
        <w:numPr>
          <w:ilvl w:val="0"/>
          <w:numId w:val="21"/>
        </w:numPr>
        <w:rPr>
          <w:rFonts w:hint="eastAsia"/>
          <w:szCs w:val="22"/>
          <w:lang w:val="en-US" w:eastAsia="zh-CN"/>
        </w:rPr>
      </w:pPr>
      <w:r>
        <w:rPr>
          <w:rFonts w:hint="eastAsia"/>
          <w:szCs w:val="22"/>
          <w:lang w:val="en-US" w:eastAsia="zh-CN"/>
        </w:rPr>
        <w:t>合理抽样，保持可信性。</w:t>
      </w:r>
    </w:p>
    <w:p>
      <w:pPr>
        <w:pStyle w:val="21"/>
        <w:numPr>
          <w:ilvl w:val="0"/>
          <w:numId w:val="21"/>
        </w:numPr>
        <w:rPr>
          <w:rFonts w:hint="eastAsia"/>
          <w:szCs w:val="22"/>
          <w:lang w:val="en-US" w:eastAsia="zh-CN"/>
        </w:rPr>
      </w:pPr>
      <w:r>
        <w:rPr>
          <w:rFonts w:hint="eastAsia"/>
          <w:szCs w:val="22"/>
          <w:lang w:val="en-US" w:eastAsia="zh-CN"/>
        </w:rPr>
        <w:t>能够验证，保持可重现，实现可追溯。</w:t>
      </w:r>
    </w:p>
    <w:p>
      <w:pPr>
        <w:pStyle w:val="51"/>
        <w:bidi w:val="0"/>
        <w:ind w:left="0" w:leftChars="0" w:firstLine="0" w:firstLineChars="0"/>
        <w:rPr>
          <w:rFonts w:hint="eastAsia"/>
          <w:lang w:val="en-US" w:eastAsia="zh-CN"/>
        </w:rPr>
      </w:pPr>
      <w:bookmarkStart w:id="34" w:name="_Toc31753"/>
      <w:bookmarkStart w:id="35" w:name="_Toc16769"/>
      <w:r>
        <w:rPr>
          <w:rFonts w:hint="eastAsia"/>
          <w:lang w:val="en-US" w:eastAsia="zh-CN"/>
        </w:rPr>
        <w:t>基于风险的方法</w:t>
      </w:r>
      <w:bookmarkEnd w:id="34"/>
      <w:bookmarkEnd w:id="35"/>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在评价过程中，评价员应</w:t>
      </w:r>
      <w:r>
        <w:rPr>
          <w:rFonts w:hint="eastAsia" w:ascii="宋体" w:hAnsi="宋体" w:eastAsia="宋体" w:cs="宋体"/>
          <w:color w:val="000000"/>
          <w:kern w:val="0"/>
          <w:sz w:val="21"/>
          <w:szCs w:val="21"/>
          <w:lang w:val="en-US" w:eastAsia="zh-CN" w:bidi="ar"/>
        </w:rPr>
        <w:t>考虑风险和机遇的</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 xml:space="preserve">方法。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基于风险的方法应对</w:t>
      </w:r>
      <w:r>
        <w:rPr>
          <w:rFonts w:hint="eastAsia" w:ascii="宋体" w:hAnsi="宋体" w:cs="宋体"/>
          <w:color w:val="000000"/>
          <w:kern w:val="0"/>
          <w:sz w:val="21"/>
          <w:szCs w:val="21"/>
          <w:lang w:val="en-US" w:eastAsia="zh-CN" w:bidi="ar"/>
        </w:rPr>
        <w:t>评价活动</w:t>
      </w:r>
      <w:r>
        <w:rPr>
          <w:rFonts w:hint="eastAsia" w:ascii="宋体" w:hAnsi="宋体" w:eastAsia="宋体" w:cs="宋体"/>
          <w:color w:val="000000"/>
          <w:kern w:val="0"/>
          <w:sz w:val="21"/>
          <w:szCs w:val="21"/>
          <w:lang w:val="en-US" w:eastAsia="zh-CN" w:bidi="ar"/>
        </w:rPr>
        <w:t>的策划、实施和报告具有实质性影响，以确保</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关注于对委托方重要的事项和对实现</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目标重要的事项。</w:t>
      </w:r>
    </w:p>
    <w:p>
      <w:pPr>
        <w:pStyle w:val="51"/>
        <w:bidi w:val="0"/>
        <w:ind w:left="0" w:leftChars="0" w:firstLine="0" w:firstLineChars="0"/>
        <w:rPr>
          <w:rFonts w:hint="eastAsia"/>
          <w:lang w:val="en-US" w:eastAsia="zh-CN"/>
        </w:rPr>
      </w:pPr>
      <w:bookmarkStart w:id="36" w:name="_Toc17005"/>
      <w:bookmarkStart w:id="37" w:name="_Toc394"/>
      <w:r>
        <w:rPr>
          <w:rFonts w:hint="eastAsia"/>
          <w:lang w:val="en-US" w:eastAsia="zh-CN"/>
        </w:rPr>
        <w:t>基于闭环的方法</w:t>
      </w:r>
      <w:bookmarkEnd w:id="36"/>
      <w:bookmarkEnd w:id="37"/>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时，</w:t>
      </w:r>
      <w:r>
        <w:rPr>
          <w:rFonts w:hint="eastAsia" w:ascii="宋体" w:hAnsi="宋体" w:cs="宋体"/>
          <w:color w:val="000000"/>
          <w:kern w:val="0"/>
          <w:sz w:val="21"/>
          <w:szCs w:val="21"/>
          <w:lang w:val="en-US" w:eastAsia="zh-CN" w:bidi="ar"/>
        </w:rPr>
        <w:t>评价员</w:t>
      </w:r>
      <w:r>
        <w:rPr>
          <w:rFonts w:hint="eastAsia" w:ascii="宋体" w:hAnsi="宋体" w:eastAsia="宋体" w:cs="宋体"/>
          <w:color w:val="000000"/>
          <w:kern w:val="0"/>
          <w:sz w:val="21"/>
          <w:szCs w:val="21"/>
          <w:lang w:val="en-US" w:eastAsia="zh-CN" w:bidi="ar"/>
        </w:rPr>
        <w:t>不能流于表面和形式化，应透过现象看本质，深度挖掘存在</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问题</w:t>
      </w:r>
      <w:r>
        <w:rPr>
          <w:rFonts w:hint="eastAsia" w:ascii="宋体" w:hAnsi="宋体" w:cs="宋体"/>
          <w:color w:val="000000"/>
          <w:kern w:val="0"/>
          <w:sz w:val="21"/>
          <w:szCs w:val="21"/>
          <w:lang w:val="en-US" w:eastAsia="zh-CN" w:bidi="ar"/>
        </w:rPr>
        <w:t>，并达到闭环管理、持续改进。</w:t>
      </w:r>
      <w:r>
        <w:rPr>
          <w:rFonts w:hint="eastAsia" w:ascii="宋体" w:hAnsi="宋体" w:eastAsia="宋体" w:cs="宋体"/>
          <w:color w:val="000000"/>
          <w:kern w:val="0"/>
          <w:sz w:val="21"/>
          <w:szCs w:val="21"/>
          <w:lang w:val="en-US" w:eastAsia="zh-CN" w:bidi="ar"/>
        </w:rPr>
        <w:t xml:space="preserve"> </w:t>
      </w:r>
    </w:p>
    <w:p>
      <w:pPr>
        <w:pStyle w:val="21"/>
        <w:numPr>
          <w:ilvl w:val="0"/>
          <w:numId w:val="22"/>
        </w:numPr>
        <w:rPr>
          <w:rFonts w:hint="eastAsia"/>
          <w:szCs w:val="22"/>
          <w:lang w:val="en-US" w:eastAsia="zh-CN"/>
        </w:rPr>
      </w:pPr>
      <w:r>
        <w:rPr>
          <w:rFonts w:hint="eastAsia"/>
          <w:szCs w:val="22"/>
          <w:lang w:val="en-US" w:eastAsia="zh-CN"/>
        </w:rPr>
        <w:t xml:space="preserve">以PDCA过程管理为评价思路，通过相关管理或工作痕迹，以人员访谈、文件查阅、现场验证和抽样询问等方式，查找管理体系运行结果的符合性证据及在运转过程当中出现的问题或不符合事项，分析各要素的运行效果。 </w:t>
      </w:r>
    </w:p>
    <w:p>
      <w:pPr>
        <w:pStyle w:val="21"/>
        <w:numPr>
          <w:ilvl w:val="0"/>
          <w:numId w:val="22"/>
        </w:numPr>
        <w:rPr>
          <w:rFonts w:hint="eastAsia"/>
          <w:szCs w:val="22"/>
          <w:lang w:val="en-US" w:eastAsia="zh-CN"/>
        </w:rPr>
      </w:pPr>
      <w:r>
        <w:rPr>
          <w:rFonts w:hint="eastAsia"/>
          <w:szCs w:val="22"/>
          <w:lang w:val="en-US" w:eastAsia="zh-CN"/>
        </w:rPr>
        <w:t xml:space="preserve">按AIGE评价模型对审核发现进行归类分析和诊断，分析各要素在策划、实施、差距、影响各环节的表现，针对系统或管理上的根本原因提出改进机会。 </w:t>
      </w:r>
    </w:p>
    <w:p>
      <w:pPr>
        <w:pStyle w:val="21"/>
        <w:numPr>
          <w:ilvl w:val="0"/>
          <w:numId w:val="22"/>
        </w:numPr>
        <w:rPr>
          <w:rFonts w:hint="eastAsia"/>
          <w:szCs w:val="22"/>
          <w:lang w:val="en-US" w:eastAsia="zh-CN"/>
        </w:rPr>
      </w:pPr>
      <w:r>
        <w:rPr>
          <w:rFonts w:hint="eastAsia"/>
          <w:szCs w:val="22"/>
          <w:lang w:val="en-US" w:eastAsia="zh-CN"/>
        </w:rPr>
        <w:t xml:space="preserve">综合单元得分率、总得分率和否决项，确定体系绩效认可的等级，针对管理体系在运转过程中呈现出来的管理强项给予肯定，并对存在的问题或不符合事项提出整改要求，从系统上采取纠正措施，及时跟进、验证整改效果，确保闭环管理得到有效实施。 </w:t>
      </w:r>
    </w:p>
    <w:p>
      <w:pPr>
        <w:pStyle w:val="94"/>
        <w:rPr>
          <w:rFonts w:hint="eastAsia"/>
          <w:szCs w:val="22"/>
          <w:lang w:val="en-US" w:eastAsia="zh-CN"/>
        </w:rPr>
      </w:pPr>
      <w:bookmarkStart w:id="38" w:name="_Toc14678"/>
      <w:bookmarkStart w:id="39" w:name="_Toc20059"/>
      <w:r>
        <w:rPr>
          <w:rFonts w:hint="eastAsia"/>
          <w:szCs w:val="22"/>
          <w:lang w:val="en-US" w:eastAsia="zh-CN"/>
        </w:rPr>
        <w:t>基本要求</w:t>
      </w:r>
      <w:bookmarkEnd w:id="38"/>
      <w:bookmarkEnd w:id="39"/>
    </w:p>
    <w:p>
      <w:pPr>
        <w:pStyle w:val="51"/>
        <w:bidi w:val="0"/>
        <w:ind w:left="0" w:leftChars="0" w:firstLine="0" w:firstLineChars="0"/>
        <w:rPr>
          <w:rFonts w:hint="eastAsia"/>
          <w:highlight w:val="none"/>
          <w:lang w:val="en-US" w:eastAsia="zh-CN"/>
        </w:rPr>
      </w:pPr>
      <w:bookmarkStart w:id="40" w:name="_Toc30789"/>
      <w:bookmarkStart w:id="41" w:name="_Toc26263"/>
      <w:r>
        <w:rPr>
          <w:rFonts w:hint="eastAsia"/>
          <w:highlight w:val="none"/>
          <w:lang w:val="en-US" w:eastAsia="zh-CN"/>
        </w:rPr>
        <w:t>评价方式</w:t>
      </w:r>
      <w:bookmarkEnd w:id="40"/>
      <w:bookmarkEnd w:id="41"/>
    </w:p>
    <w:p>
      <w:pPr>
        <w:pStyle w:val="21"/>
        <w:rPr>
          <w:rFonts w:hint="eastAsia"/>
          <w:szCs w:val="22"/>
          <w:lang w:val="en-US" w:eastAsia="zh-CN"/>
        </w:rPr>
      </w:pPr>
      <w:r>
        <w:rPr>
          <w:rFonts w:hint="eastAsia"/>
          <w:szCs w:val="22"/>
          <w:lang w:val="en-US" w:eastAsia="zh-CN"/>
        </w:rPr>
        <w:t>安全与风险综合管理体系等级认定评价以自愿性为原则，可分为自评、第二方评价和第三方评价。</w:t>
      </w:r>
    </w:p>
    <w:p>
      <w:pPr>
        <w:pStyle w:val="21"/>
        <w:rPr>
          <w:rFonts w:hint="default"/>
          <w:szCs w:val="22"/>
          <w:lang w:val="en-US" w:eastAsia="zh-CN"/>
        </w:rPr>
      </w:pPr>
      <w:r>
        <w:rPr>
          <w:rFonts w:hint="eastAsia"/>
          <w:szCs w:val="22"/>
          <w:lang w:val="en-US" w:eastAsia="zh-CN"/>
        </w:rPr>
        <w:t>评价机构需获得授权机构的认可后方可从事评价工作。</w:t>
      </w:r>
    </w:p>
    <w:p>
      <w:pPr>
        <w:pStyle w:val="21"/>
        <w:numPr>
          <w:ilvl w:val="0"/>
          <w:numId w:val="23"/>
        </w:numPr>
        <w:rPr>
          <w:rFonts w:hint="eastAsia"/>
          <w:szCs w:val="22"/>
          <w:lang w:val="en-US" w:eastAsia="zh-CN"/>
        </w:rPr>
      </w:pPr>
      <w:r>
        <w:rPr>
          <w:rFonts w:hint="eastAsia"/>
          <w:szCs w:val="22"/>
          <w:lang w:val="en-US" w:eastAsia="zh-CN"/>
        </w:rPr>
        <w:t>自评由企业自行开展；</w:t>
      </w:r>
    </w:p>
    <w:p>
      <w:pPr>
        <w:pStyle w:val="21"/>
        <w:numPr>
          <w:ilvl w:val="0"/>
          <w:numId w:val="23"/>
        </w:numPr>
        <w:rPr>
          <w:rFonts w:hint="eastAsia"/>
          <w:szCs w:val="22"/>
          <w:lang w:val="en-US" w:eastAsia="zh-CN"/>
        </w:rPr>
      </w:pPr>
      <w:r>
        <w:rPr>
          <w:rFonts w:hint="eastAsia"/>
          <w:szCs w:val="22"/>
          <w:lang w:val="en-US" w:eastAsia="zh-CN"/>
        </w:rPr>
        <w:t>第二方评价由企业的上级部门组织或委托第三方评价机构开展；</w:t>
      </w:r>
    </w:p>
    <w:p>
      <w:pPr>
        <w:pStyle w:val="21"/>
        <w:numPr>
          <w:ilvl w:val="0"/>
          <w:numId w:val="23"/>
        </w:numPr>
        <w:rPr>
          <w:rFonts w:hint="default"/>
          <w:szCs w:val="22"/>
          <w:lang w:val="en-US" w:eastAsia="zh-CN"/>
        </w:rPr>
      </w:pPr>
      <w:r>
        <w:rPr>
          <w:rFonts w:hint="eastAsia"/>
          <w:szCs w:val="22"/>
          <w:lang w:val="en-US" w:eastAsia="zh-CN"/>
        </w:rPr>
        <w:t>第三方评价由第三方评价机构开展。</w:t>
      </w:r>
    </w:p>
    <w:p>
      <w:pPr>
        <w:pStyle w:val="51"/>
        <w:bidi w:val="0"/>
        <w:ind w:left="0" w:leftChars="0" w:firstLine="0" w:firstLineChars="0"/>
        <w:rPr>
          <w:rFonts w:hint="eastAsia"/>
          <w:highlight w:val="none"/>
          <w:lang w:val="en-US" w:eastAsia="zh-CN"/>
        </w:rPr>
      </w:pPr>
      <w:bookmarkStart w:id="42" w:name="_Toc24166"/>
      <w:bookmarkStart w:id="43" w:name="_Toc7626"/>
      <w:r>
        <w:rPr>
          <w:rFonts w:hint="eastAsia"/>
          <w:highlight w:val="none"/>
          <w:lang w:val="en-US" w:eastAsia="zh-CN"/>
        </w:rPr>
        <w:t>评价形式</w:t>
      </w:r>
      <w:bookmarkEnd w:id="42"/>
      <w:bookmarkEnd w:id="43"/>
    </w:p>
    <w:p>
      <w:pPr>
        <w:pStyle w:val="21"/>
        <w:numPr>
          <w:ilvl w:val="0"/>
          <w:numId w:val="0"/>
        </w:numPr>
        <w:ind w:firstLine="420" w:firstLineChars="200"/>
        <w:rPr>
          <w:rFonts w:hint="eastAsia"/>
          <w:lang w:val="en-US" w:eastAsia="zh-CN"/>
        </w:rPr>
      </w:pPr>
      <w:r>
        <w:rPr>
          <w:rFonts w:hint="eastAsia"/>
          <w:lang w:val="en-US" w:eastAsia="zh-CN"/>
        </w:rPr>
        <w:t>针对评价方式，最终表现形式有以下几种：</w:t>
      </w:r>
    </w:p>
    <w:p>
      <w:pPr>
        <w:pStyle w:val="21"/>
        <w:numPr>
          <w:ilvl w:val="0"/>
          <w:numId w:val="24"/>
        </w:numPr>
        <w:rPr>
          <w:rFonts w:hint="eastAsia"/>
          <w:szCs w:val="22"/>
          <w:lang w:val="en-US" w:eastAsia="zh-CN"/>
        </w:rPr>
      </w:pPr>
      <w:r>
        <w:rPr>
          <w:rFonts w:hint="eastAsia"/>
          <w:szCs w:val="22"/>
          <w:lang w:val="en-US" w:eastAsia="zh-CN"/>
        </w:rPr>
        <w:t>自评报告，报告格式由企业自定；</w:t>
      </w:r>
    </w:p>
    <w:p>
      <w:pPr>
        <w:pStyle w:val="21"/>
        <w:numPr>
          <w:ilvl w:val="0"/>
          <w:numId w:val="24"/>
        </w:numPr>
        <w:rPr>
          <w:rFonts w:hint="eastAsia"/>
          <w:szCs w:val="22"/>
          <w:lang w:val="en-US" w:eastAsia="zh-CN"/>
        </w:rPr>
      </w:pPr>
      <w:r>
        <w:rPr>
          <w:rFonts w:hint="eastAsia"/>
          <w:szCs w:val="22"/>
          <w:lang w:val="en-US" w:eastAsia="zh-CN"/>
        </w:rPr>
        <w:t>第二方评价报告，报告格式由第二方机构（委托方）决定，如需获取等级认定证书，则需经授权机构认可并出具；</w:t>
      </w:r>
    </w:p>
    <w:p>
      <w:pPr>
        <w:pStyle w:val="21"/>
        <w:numPr>
          <w:ilvl w:val="0"/>
          <w:numId w:val="24"/>
        </w:numPr>
        <w:rPr>
          <w:rFonts w:hint="default"/>
          <w:szCs w:val="22"/>
          <w:lang w:val="en-US" w:eastAsia="zh-CN"/>
        </w:rPr>
      </w:pPr>
      <w:r>
        <w:rPr>
          <w:rFonts w:hint="eastAsia"/>
          <w:szCs w:val="22"/>
          <w:lang w:val="en-US" w:eastAsia="zh-CN"/>
        </w:rPr>
        <w:t>第三方评价报告，报告格式及证书均由授权机构和经授权的第三方评价机构共同决定并出具。</w:t>
      </w:r>
    </w:p>
    <w:p>
      <w:pPr>
        <w:pStyle w:val="51"/>
        <w:bidi w:val="0"/>
        <w:ind w:left="0" w:leftChars="0" w:firstLine="0" w:firstLineChars="0"/>
        <w:rPr>
          <w:rFonts w:hint="eastAsia"/>
          <w:highlight w:val="none"/>
          <w:lang w:val="en-US" w:eastAsia="zh-CN"/>
        </w:rPr>
      </w:pPr>
      <w:bookmarkStart w:id="44" w:name="_Toc17584"/>
      <w:bookmarkStart w:id="45" w:name="_Toc22883"/>
      <w:r>
        <w:rPr>
          <w:rFonts w:hint="eastAsia"/>
          <w:highlight w:val="none"/>
          <w:lang w:val="en-US" w:eastAsia="zh-CN"/>
        </w:rPr>
        <w:t>评价条件</w:t>
      </w:r>
      <w:bookmarkEnd w:id="44"/>
      <w:bookmarkEnd w:id="45"/>
    </w:p>
    <w:p>
      <w:pPr>
        <w:pStyle w:val="21"/>
        <w:rPr>
          <w:rFonts w:hint="eastAsia"/>
          <w:szCs w:val="22"/>
          <w:lang w:val="en-US" w:eastAsia="zh-CN"/>
        </w:rPr>
      </w:pPr>
      <w:r>
        <w:rPr>
          <w:rFonts w:hint="eastAsia"/>
          <w:szCs w:val="22"/>
          <w:lang w:val="en-US" w:eastAsia="zh-CN"/>
        </w:rPr>
        <w:t>申请安全与风险综合管理体系等级认定评价的企业发生以下任意一项，则不具备评价资格：</w:t>
      </w:r>
    </w:p>
    <w:p>
      <w:pPr>
        <w:pStyle w:val="21"/>
        <w:numPr>
          <w:ilvl w:val="0"/>
          <w:numId w:val="25"/>
        </w:numPr>
        <w:rPr>
          <w:rFonts w:hint="eastAsia"/>
          <w:szCs w:val="22"/>
          <w:lang w:val="en-US" w:eastAsia="zh-CN"/>
        </w:rPr>
      </w:pPr>
      <w:r>
        <w:rPr>
          <w:rFonts w:hint="eastAsia"/>
          <w:szCs w:val="22"/>
          <w:lang w:val="en-US" w:eastAsia="zh-CN"/>
        </w:rPr>
        <w:t>近两年发生过较大及以上生产安全事故；</w:t>
      </w:r>
    </w:p>
    <w:p>
      <w:pPr>
        <w:pStyle w:val="21"/>
        <w:numPr>
          <w:ilvl w:val="0"/>
          <w:numId w:val="25"/>
        </w:numPr>
        <w:rPr>
          <w:rFonts w:hint="eastAsia"/>
          <w:szCs w:val="22"/>
          <w:lang w:val="en-US" w:eastAsia="zh-CN"/>
        </w:rPr>
      </w:pPr>
      <w:r>
        <w:rPr>
          <w:rFonts w:hint="eastAsia"/>
          <w:szCs w:val="22"/>
          <w:lang w:val="en-US" w:eastAsia="zh-CN"/>
        </w:rPr>
        <w:t>近两年发生安全生产行政处罚超过2次且未按要求完成整改；</w:t>
      </w:r>
    </w:p>
    <w:p>
      <w:pPr>
        <w:pStyle w:val="21"/>
        <w:numPr>
          <w:ilvl w:val="0"/>
          <w:numId w:val="25"/>
        </w:numPr>
        <w:rPr>
          <w:rFonts w:hint="eastAsia"/>
          <w:lang w:val="en-US" w:eastAsia="zh-CN"/>
        </w:rPr>
      </w:pPr>
      <w:r>
        <w:rPr>
          <w:rFonts w:hint="eastAsia"/>
          <w:szCs w:val="22"/>
          <w:lang w:val="en-US" w:eastAsia="zh-CN"/>
        </w:rPr>
        <w:t>近两年被纳入安全生产领域失信惩戒名单；</w:t>
      </w:r>
    </w:p>
    <w:p>
      <w:pPr>
        <w:pStyle w:val="21"/>
        <w:numPr>
          <w:ilvl w:val="0"/>
          <w:numId w:val="25"/>
        </w:numPr>
        <w:rPr>
          <w:rFonts w:hint="eastAsia"/>
          <w:lang w:val="en-US" w:eastAsia="zh-CN"/>
        </w:rPr>
      </w:pPr>
      <w:r>
        <w:rPr>
          <w:rFonts w:hint="eastAsia"/>
          <w:szCs w:val="22"/>
          <w:lang w:val="en-US" w:eastAsia="zh-CN"/>
        </w:rPr>
        <w:t>近两年被纳入严重违法失信企业名单；</w:t>
      </w:r>
    </w:p>
    <w:p>
      <w:pPr>
        <w:pStyle w:val="21"/>
        <w:numPr>
          <w:ilvl w:val="0"/>
          <w:numId w:val="25"/>
        </w:numPr>
        <w:rPr>
          <w:rFonts w:hint="eastAsia"/>
          <w:lang w:val="en-US" w:eastAsia="zh-CN"/>
        </w:rPr>
      </w:pPr>
      <w:r>
        <w:rPr>
          <w:rFonts w:hint="eastAsia"/>
          <w:lang w:val="en-US" w:eastAsia="zh-CN"/>
        </w:rPr>
        <w:t>发生较大的环境事件；</w:t>
      </w:r>
    </w:p>
    <w:p>
      <w:pPr>
        <w:pStyle w:val="21"/>
        <w:numPr>
          <w:ilvl w:val="0"/>
          <w:numId w:val="25"/>
        </w:numPr>
        <w:rPr>
          <w:rFonts w:hint="eastAsia"/>
          <w:lang w:val="en-US" w:eastAsia="zh-CN"/>
        </w:rPr>
      </w:pPr>
      <w:r>
        <w:rPr>
          <w:rFonts w:hint="eastAsia"/>
          <w:lang w:val="en-US" w:eastAsia="zh-CN"/>
        </w:rPr>
        <w:t>发生其他造成重大负面社会影响的事件；</w:t>
      </w:r>
    </w:p>
    <w:p>
      <w:pPr>
        <w:pStyle w:val="21"/>
        <w:numPr>
          <w:ilvl w:val="0"/>
          <w:numId w:val="25"/>
        </w:numPr>
        <w:rPr>
          <w:rFonts w:hint="eastAsia"/>
          <w:lang w:val="en-US" w:eastAsia="zh-CN"/>
        </w:rPr>
      </w:pPr>
      <w:r>
        <w:rPr>
          <w:rFonts w:hint="eastAsia"/>
          <w:szCs w:val="22"/>
          <w:lang w:val="en-US" w:eastAsia="zh-CN"/>
        </w:rPr>
        <w:t>发生其他经评价机构决定不予以评价的情形。</w:t>
      </w:r>
    </w:p>
    <w:p>
      <w:pPr>
        <w:pStyle w:val="51"/>
        <w:bidi w:val="0"/>
        <w:ind w:left="0" w:leftChars="0" w:firstLine="0" w:firstLineChars="0"/>
        <w:rPr>
          <w:rFonts w:hint="eastAsia"/>
          <w:highlight w:val="none"/>
          <w:lang w:val="en-US" w:eastAsia="zh-CN"/>
        </w:rPr>
      </w:pPr>
      <w:bookmarkStart w:id="46" w:name="_Toc23995"/>
      <w:bookmarkStart w:id="47" w:name="_Toc17903"/>
      <w:r>
        <w:rPr>
          <w:rFonts w:hint="eastAsia"/>
          <w:highlight w:val="none"/>
          <w:lang w:val="en-US" w:eastAsia="zh-CN"/>
        </w:rPr>
        <w:t>评价方法</w:t>
      </w:r>
      <w:bookmarkEnd w:id="46"/>
      <w:bookmarkEnd w:id="47"/>
    </w:p>
    <w:p>
      <w:pPr>
        <w:pStyle w:val="21"/>
        <w:numPr>
          <w:ilvl w:val="0"/>
          <w:numId w:val="0"/>
        </w:numPr>
        <w:ind w:firstLine="420" w:firstLineChars="200"/>
        <w:rPr>
          <w:rFonts w:hint="default"/>
          <w:szCs w:val="22"/>
          <w:lang w:val="en-US" w:eastAsia="zh-CN"/>
        </w:rPr>
      </w:pPr>
      <w:r>
        <w:rPr>
          <w:rFonts w:hint="eastAsia"/>
          <w:szCs w:val="22"/>
          <w:lang w:val="en-US" w:eastAsia="zh-CN"/>
        </w:rPr>
        <w:t>评价机构评价组</w:t>
      </w:r>
      <w:r>
        <w:rPr>
          <w:rFonts w:hint="eastAsia"/>
          <w:lang w:val="en-US" w:eastAsia="zh-CN"/>
        </w:rPr>
        <w:t>采取“双基准-否决项”评审方法</w:t>
      </w:r>
      <w:r>
        <w:rPr>
          <w:rFonts w:hint="eastAsia"/>
          <w:szCs w:val="22"/>
          <w:lang w:val="en-US" w:eastAsia="zh-CN"/>
        </w:rPr>
        <w:t>对安全与风险综合管理体系的运转结果进行客观等级认定，即采用GB/T 19011《管理体系审核指南》的PDCA过程审核方法对企业开展全业务、全过程、全绩效评价，得出各要素的运行情况；再按AIGE评价模型对</w:t>
      </w:r>
      <w:r>
        <w:rPr>
          <w:rFonts w:hint="eastAsia"/>
          <w:szCs w:val="18"/>
          <w:vertAlign w:val="baseline"/>
          <w:lang w:val="en-US" w:eastAsia="zh-CN"/>
        </w:rPr>
        <w:t>各要素运行情况的各环节进行打分</w:t>
      </w:r>
      <w:r>
        <w:rPr>
          <w:rFonts w:hint="eastAsia"/>
          <w:szCs w:val="22"/>
          <w:lang w:val="en-US" w:eastAsia="zh-CN"/>
        </w:rPr>
        <w:t>，得出各要素得分率，从而得出各单元得分率</w:t>
      </w:r>
      <w:r>
        <w:rPr>
          <w:rFonts w:hint="eastAsia"/>
          <w:szCs w:val="18"/>
          <w:vertAlign w:val="baseline"/>
          <w:lang w:val="en-US" w:eastAsia="zh-CN"/>
        </w:rPr>
        <w:t>和总得分率</w:t>
      </w:r>
      <w:r>
        <w:rPr>
          <w:rFonts w:hint="eastAsia"/>
          <w:szCs w:val="22"/>
          <w:lang w:val="en-US" w:eastAsia="zh-CN"/>
        </w:rPr>
        <w:t>，取单元得分率和总得分率的最小值并结合否决项，得出评价结果，具体详见“6 认可评定”。</w:t>
      </w:r>
    </w:p>
    <w:p>
      <w:pPr>
        <w:pStyle w:val="51"/>
        <w:bidi w:val="0"/>
        <w:ind w:left="0" w:leftChars="0" w:firstLine="0" w:firstLineChars="0"/>
        <w:rPr>
          <w:rFonts w:hint="eastAsia"/>
          <w:highlight w:val="none"/>
          <w:lang w:val="en-US" w:eastAsia="zh-CN"/>
        </w:rPr>
      </w:pPr>
      <w:bookmarkStart w:id="48" w:name="_Toc14457"/>
      <w:bookmarkStart w:id="49" w:name="_Toc3602"/>
      <w:r>
        <w:rPr>
          <w:rFonts w:hint="eastAsia"/>
          <w:szCs w:val="22"/>
          <w:lang w:val="en-US" w:eastAsia="zh-CN"/>
        </w:rPr>
        <w:t>评价</w:t>
      </w:r>
      <w:r>
        <w:rPr>
          <w:rFonts w:hint="eastAsia"/>
          <w:highlight w:val="none"/>
          <w:lang w:val="en-US" w:eastAsia="zh-CN"/>
        </w:rPr>
        <w:t>人员</w:t>
      </w:r>
      <w:bookmarkEnd w:id="48"/>
      <w:bookmarkEnd w:id="49"/>
    </w:p>
    <w:p>
      <w:pPr>
        <w:pStyle w:val="21"/>
        <w:numPr>
          <w:ilvl w:val="0"/>
          <w:numId w:val="0"/>
        </w:numPr>
        <w:ind w:firstLine="420" w:firstLineChars="200"/>
        <w:rPr>
          <w:rFonts w:hint="eastAsia"/>
          <w:szCs w:val="22"/>
          <w:lang w:val="en-US" w:eastAsia="zh-CN"/>
        </w:rPr>
      </w:pPr>
      <w:r>
        <w:rPr>
          <w:rFonts w:hint="eastAsia"/>
          <w:szCs w:val="22"/>
          <w:lang w:val="en-US" w:eastAsia="zh-CN"/>
        </w:rPr>
        <w:t>评价机构建立评价员库，将相关人员的学历背景、工作经验、技能水平及相关资质材料等提交授权机构备案，并由授权机构进行认可后以发文形式进行公布。</w:t>
      </w:r>
    </w:p>
    <w:p>
      <w:pPr>
        <w:pStyle w:val="21"/>
        <w:numPr>
          <w:ilvl w:val="0"/>
          <w:numId w:val="0"/>
        </w:numPr>
        <w:ind w:firstLine="420" w:firstLineChars="200"/>
        <w:rPr>
          <w:rFonts w:hint="eastAsia"/>
          <w:szCs w:val="22"/>
          <w:lang w:val="en-US" w:eastAsia="zh-CN"/>
        </w:rPr>
      </w:pPr>
      <w:r>
        <w:rPr>
          <w:rFonts w:hint="eastAsia"/>
          <w:szCs w:val="22"/>
          <w:lang w:val="en-US" w:eastAsia="zh-CN"/>
        </w:rPr>
        <w:t>严禁非认可人员从事安全与风险综合管理体系等级认定评价工作。</w:t>
      </w:r>
    </w:p>
    <w:p>
      <w:pPr>
        <w:pStyle w:val="51"/>
        <w:bidi w:val="0"/>
        <w:ind w:left="0" w:leftChars="0" w:firstLine="0" w:firstLineChars="0"/>
        <w:rPr>
          <w:rFonts w:hint="eastAsia"/>
          <w:highlight w:val="none"/>
          <w:lang w:val="en-US" w:eastAsia="zh-CN"/>
        </w:rPr>
      </w:pPr>
      <w:bookmarkStart w:id="50" w:name="_Toc23007"/>
      <w:bookmarkStart w:id="51" w:name="_Toc2293"/>
      <w:r>
        <w:rPr>
          <w:rFonts w:hint="eastAsia"/>
          <w:szCs w:val="22"/>
          <w:lang w:val="en-US" w:eastAsia="zh-CN"/>
        </w:rPr>
        <w:t>评价</w:t>
      </w:r>
      <w:r>
        <w:rPr>
          <w:rFonts w:hint="eastAsia"/>
          <w:highlight w:val="none"/>
          <w:lang w:val="en-US" w:eastAsia="zh-CN"/>
        </w:rPr>
        <w:t>周期</w:t>
      </w:r>
      <w:bookmarkEnd w:id="50"/>
      <w:bookmarkEnd w:id="51"/>
    </w:p>
    <w:p>
      <w:pPr>
        <w:pStyle w:val="21"/>
        <w:numPr>
          <w:ilvl w:val="0"/>
          <w:numId w:val="0"/>
        </w:numPr>
        <w:ind w:firstLine="420" w:firstLineChars="200"/>
        <w:rPr>
          <w:rFonts w:hint="eastAsia"/>
          <w:szCs w:val="22"/>
          <w:lang w:val="en-US" w:eastAsia="zh-CN"/>
        </w:rPr>
      </w:pPr>
      <w:r>
        <w:rPr>
          <w:rFonts w:hint="eastAsia"/>
          <w:szCs w:val="22"/>
          <w:lang w:val="en-US" w:eastAsia="zh-CN"/>
        </w:rPr>
        <w:t>评价周期为每年一次（不超过12个月），等级认定证书有效期为3年，初次获证之后，每年实施监督评价，若等级得到保持，则每3年换证一次，否则根据实际情况进行相应换证。</w:t>
      </w:r>
    </w:p>
    <w:p>
      <w:pPr>
        <w:pStyle w:val="94"/>
        <w:rPr>
          <w:rFonts w:hint="eastAsia"/>
          <w:szCs w:val="22"/>
          <w:lang w:val="en-US" w:eastAsia="zh-CN"/>
        </w:rPr>
      </w:pPr>
      <w:bookmarkStart w:id="52" w:name="_Toc14742"/>
      <w:bookmarkStart w:id="53" w:name="_Toc26111"/>
      <w:r>
        <w:rPr>
          <w:rFonts w:hint="eastAsia"/>
          <w:szCs w:val="22"/>
          <w:lang w:val="en-US" w:eastAsia="zh-CN"/>
        </w:rPr>
        <w:t>认可评定</w:t>
      </w:r>
      <w:bookmarkEnd w:id="52"/>
      <w:bookmarkEnd w:id="53"/>
    </w:p>
    <w:p>
      <w:pPr>
        <w:pStyle w:val="51"/>
        <w:bidi w:val="0"/>
        <w:ind w:left="0" w:leftChars="0" w:firstLine="0" w:firstLineChars="0"/>
        <w:rPr>
          <w:rFonts w:hint="eastAsia"/>
          <w:lang w:val="en-US" w:eastAsia="zh-CN"/>
        </w:rPr>
      </w:pPr>
      <w:bookmarkStart w:id="54" w:name="_Toc8475"/>
      <w:bookmarkStart w:id="55" w:name="_Toc12872"/>
      <w:r>
        <w:rPr>
          <w:rFonts w:hint="eastAsia"/>
          <w:lang w:val="en-US" w:eastAsia="zh-CN"/>
        </w:rPr>
        <w:t>赋分计分</w:t>
      </w:r>
      <w:bookmarkEnd w:id="54"/>
      <w:bookmarkEnd w:id="55"/>
    </w:p>
    <w:p>
      <w:pPr>
        <w:pStyle w:val="21"/>
        <w:rPr>
          <w:rFonts w:hint="eastAsia"/>
          <w:lang w:val="en-US" w:eastAsia="zh-CN"/>
        </w:rPr>
      </w:pPr>
      <w:r>
        <w:rPr>
          <w:rFonts w:hint="eastAsia"/>
          <w:lang w:val="en-US" w:eastAsia="zh-CN"/>
        </w:rPr>
        <w:t>基于《安全与风险综合管理体系》（Q/YTC 2001-2021）的框架及要素进行赋分和计分，以对企业运行体系的结果进行量化评价。</w:t>
      </w:r>
    </w:p>
    <w:p>
      <w:pPr>
        <w:pStyle w:val="21"/>
        <w:rPr>
          <w:rFonts w:hint="default" w:ascii="宋体" w:eastAsia="宋体" w:cs="Times New Roman"/>
          <w:sz w:val="21"/>
          <w:szCs w:val="22"/>
          <w:lang w:val="en-US" w:eastAsia="zh-CN" w:bidi="ar-SA"/>
        </w:rPr>
      </w:pPr>
      <w:r>
        <w:rPr>
          <w:rFonts w:hint="eastAsia" w:cs="Times New Roman"/>
          <w:sz w:val="21"/>
          <w:szCs w:val="22"/>
          <w:lang w:val="en-US" w:eastAsia="zh-CN" w:bidi="ar-SA"/>
        </w:rPr>
        <w:t>以下分别为各单元各要素及评价模型的赋分，若出现豁免项，则相应扣减。</w:t>
      </w: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各单元要素赋分，详见表1。</w:t>
      </w:r>
    </w:p>
    <w:p>
      <w:pPr>
        <w:pStyle w:val="21"/>
        <w:numPr>
          <w:ilvl w:val="0"/>
          <w:numId w:val="0"/>
        </w:numPr>
        <w:ind w:left="420" w:leftChars="0"/>
        <w:jc w:val="center"/>
        <w:rPr>
          <w:rFonts w:hint="eastAsia"/>
          <w:b/>
          <w:bCs/>
          <w:szCs w:val="22"/>
          <w:lang w:val="en-US" w:eastAsia="zh-CN"/>
        </w:rPr>
      </w:pPr>
      <w:r>
        <w:rPr>
          <w:rFonts w:hint="eastAsia" w:ascii="黑体" w:hAnsi="黑体" w:eastAsia="黑体" w:cs="黑体"/>
          <w:b w:val="0"/>
          <w:bCs w:val="0"/>
          <w:szCs w:val="22"/>
          <w:lang w:val="en-US" w:eastAsia="zh-CN"/>
        </w:rPr>
        <w:t>表1 各单元要素赋分表</w:t>
      </w:r>
    </w:p>
    <w:tbl>
      <w:tblPr>
        <w:tblStyle w:val="31"/>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3154"/>
        <w:gridCol w:w="1428"/>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34"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单元</w:t>
            </w:r>
          </w:p>
        </w:tc>
        <w:tc>
          <w:tcPr>
            <w:tcW w:w="3154"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要素</w:t>
            </w:r>
          </w:p>
        </w:tc>
        <w:tc>
          <w:tcPr>
            <w:tcW w:w="1428"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分数</w:t>
            </w:r>
          </w:p>
        </w:tc>
        <w:tc>
          <w:tcPr>
            <w:tcW w:w="1494"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 基本规定</w:t>
            </w: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4.1 安全与风险方针</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4.2 安全与风险目标指标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4.3 合规申明</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10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left"/>
              <w:rPr>
                <w:rFonts w:hint="default"/>
                <w:sz w:val="18"/>
                <w:szCs w:val="18"/>
                <w:vertAlign w:val="baseline"/>
                <w:lang w:val="en-US" w:eastAsia="zh-CN"/>
              </w:rPr>
            </w:pPr>
            <w:r>
              <w:rPr>
                <w:rFonts w:hint="eastAsia"/>
                <w:sz w:val="18"/>
                <w:szCs w:val="18"/>
                <w:vertAlign w:val="baseline"/>
                <w:lang w:val="en-US" w:eastAsia="zh-CN"/>
              </w:rPr>
              <w:t>4.4 管理体系建立与运行</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left"/>
              <w:rPr>
                <w:rFonts w:hint="default"/>
                <w:sz w:val="18"/>
                <w:szCs w:val="18"/>
                <w:vertAlign w:val="baseline"/>
                <w:lang w:val="en-US" w:eastAsia="zh-CN"/>
              </w:rPr>
            </w:pPr>
            <w:r>
              <w:rPr>
                <w:rFonts w:hint="eastAsia"/>
                <w:sz w:val="18"/>
                <w:szCs w:val="18"/>
                <w:vertAlign w:val="baseline"/>
                <w:lang w:val="en-US" w:eastAsia="zh-CN"/>
              </w:rPr>
              <w:t>4.5 实施和改进</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4.6 成文信息</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4.7 知识管理</w:t>
            </w:r>
          </w:p>
        </w:tc>
        <w:tc>
          <w:tcPr>
            <w:tcW w:w="1428" w:type="dxa"/>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4.8 安全文化建设</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 风险管理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5.1 因素辨识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5.2 风险评价</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 xml:space="preserve">5.3 风险控制 </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5.4 投入保障</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 隐患管理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6.1 分级分类</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6.2 隐患排查</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6.3 隐患治理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6.4 通报与报告</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 人力资源管理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7.1 领导作用</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7.2 安全承诺</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7.3 机构设置</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7.4 人员配备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7.5 职责权限</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7.6 能力意识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7.7 信息交流</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 供应商/分包方管理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8.1 供应商管理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8.2 分包方管理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9 施工机具管理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9.1 需求识别</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9.2 培训、使用与维护</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9.3 检验与检查</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9.4 安装与拆除</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9.5 报废</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 物项管理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10.1 采购</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10.2 进场验收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10.3 现场管理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11 工程项目管理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 投标管理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11.2 合同管理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11.3 项目策划</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11.4 工程设计</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11.5 施工准备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11.6 质量管理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p>
            <w:pPr>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100</w:t>
            </w:r>
          </w:p>
          <w:p>
            <w:pPr>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11.7 进度管理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11.8 安全管理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11.9 材料管理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11.10 环境保护</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11.11 组织协调</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11.12 成本管理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11.13 变更控制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11.14 竣工验收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11.15 交付服务</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11.16 档案管理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12 应急管理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12.1 应急准备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250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12.2 应急响应</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12.3 处置评估</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13 绩效评价</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13.1 安全检查</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13.2 绩效考核</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13.3 内部审核</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13.4 外部审核</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13.5 管理评审</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14 改进</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14.1 事故事件管理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14.2 不符合控制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14.3 纠正措施</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14.4 持续改进</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gridSpan w:val="2"/>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合计</w:t>
            </w:r>
          </w:p>
        </w:tc>
        <w:tc>
          <w:tcPr>
            <w:tcW w:w="2922" w:type="dxa"/>
            <w:gridSpan w:val="2"/>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10000</w:t>
            </w:r>
          </w:p>
        </w:tc>
      </w:tr>
    </w:tbl>
    <w:p>
      <w:pPr>
        <w:pStyle w:val="21"/>
        <w:rPr>
          <w:rFonts w:hint="default"/>
          <w:lang w:val="en-US" w:eastAsia="zh-CN"/>
        </w:rPr>
      </w:pP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AIGE评价模型赋分，详见表2。</w:t>
      </w:r>
    </w:p>
    <w:p>
      <w:pPr>
        <w:pStyle w:val="21"/>
        <w:numPr>
          <w:ilvl w:val="0"/>
          <w:numId w:val="0"/>
        </w:numPr>
        <w:ind w:firstLine="42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表2 AIGE评价模型赋分表</w:t>
      </w:r>
    </w:p>
    <w:tbl>
      <w:tblPr>
        <w:tblStyle w:val="31"/>
        <w:tblW w:w="0" w:type="auto"/>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350"/>
        <w:gridCol w:w="5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42" w:type="dxa"/>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AIGE评价模型</w:t>
            </w:r>
          </w:p>
        </w:tc>
        <w:tc>
          <w:tcPr>
            <w:tcW w:w="1350" w:type="dxa"/>
          </w:tcPr>
          <w:p>
            <w:pPr>
              <w:pStyle w:val="21"/>
              <w:numPr>
                <w:ilvl w:val="0"/>
                <w:numId w:val="0"/>
              </w:numPr>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分配比例</w:t>
            </w:r>
          </w:p>
        </w:tc>
        <w:tc>
          <w:tcPr>
            <w:tcW w:w="5278" w:type="dxa"/>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A（策划）</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10%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A得分=应得分</w:t>
            </w:r>
            <w:r>
              <w:rPr>
                <w:rFonts w:hint="default"/>
                <w:sz w:val="18"/>
                <w:szCs w:val="18"/>
                <w:vertAlign w:val="baseline"/>
                <w:lang w:val="en-US" w:eastAsia="zh-CN"/>
              </w:rPr>
              <w:t>×</w:t>
            </w:r>
            <w:r>
              <w:rPr>
                <w:rFonts w:hint="eastAsia"/>
                <w:sz w:val="18"/>
                <w:szCs w:val="18"/>
                <w:vertAlign w:val="baseline"/>
                <w:lang w:val="en-US" w:eastAsia="zh-CN"/>
              </w:rPr>
              <w:t>A得分率</w:t>
            </w:r>
            <w:r>
              <w:rPr>
                <w:rFonts w:hint="default"/>
                <w:sz w:val="18"/>
                <w:szCs w:val="18"/>
                <w:vertAlign w:val="baseline"/>
                <w:lang w:val="en-US" w:eastAsia="zh-CN"/>
              </w:rPr>
              <w:t>×</w:t>
            </w:r>
            <w:r>
              <w:rPr>
                <w:rFonts w:hint="eastAsia"/>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default"/>
                <w:sz w:val="18"/>
                <w:szCs w:val="18"/>
                <w:vertAlign w:val="baseline"/>
                <w:lang w:val="en-US" w:eastAsia="zh-CN"/>
              </w:rPr>
              <w:t>I</w:t>
            </w:r>
            <w:r>
              <w:rPr>
                <w:rFonts w:hint="eastAsia"/>
                <w:sz w:val="18"/>
                <w:szCs w:val="18"/>
                <w:vertAlign w:val="baseline"/>
                <w:lang w:val="en-US" w:eastAsia="zh-CN"/>
              </w:rPr>
              <w:t>（实施）</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30%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I得分=应得分</w:t>
            </w:r>
            <w:r>
              <w:rPr>
                <w:rFonts w:hint="default"/>
                <w:sz w:val="18"/>
                <w:szCs w:val="18"/>
                <w:vertAlign w:val="baseline"/>
                <w:lang w:val="en-US" w:eastAsia="zh-CN"/>
              </w:rPr>
              <w:t>×</w:t>
            </w:r>
            <w:r>
              <w:rPr>
                <w:rFonts w:hint="eastAsia"/>
                <w:sz w:val="18"/>
                <w:szCs w:val="18"/>
                <w:vertAlign w:val="baseline"/>
                <w:lang w:val="en-US" w:eastAsia="zh-CN"/>
              </w:rPr>
              <w:t>I得分率</w:t>
            </w:r>
            <w:r>
              <w:rPr>
                <w:rFonts w:hint="default"/>
                <w:sz w:val="18"/>
                <w:szCs w:val="18"/>
                <w:vertAlign w:val="baseline"/>
                <w:lang w:val="en-US" w:eastAsia="zh-CN"/>
              </w:rPr>
              <w:t>×</w:t>
            </w:r>
            <w:r>
              <w:rPr>
                <w:rFonts w:hint="eastAsia"/>
                <w:sz w:val="18"/>
                <w:szCs w:val="18"/>
                <w:vertAlign w:val="baseline"/>
                <w:lang w:val="en-US" w:eastAsia="zh-CN"/>
              </w:rPr>
              <w:t>A得分率</w:t>
            </w:r>
            <w:r>
              <w:rPr>
                <w:rFonts w:hint="default"/>
                <w:sz w:val="18"/>
                <w:szCs w:val="18"/>
                <w:vertAlign w:val="baseline"/>
                <w:lang w:val="en-US" w:eastAsia="zh-CN"/>
              </w:rPr>
              <w:t>×</w:t>
            </w:r>
            <w:r>
              <w:rPr>
                <w:rFonts w:hint="eastAsia"/>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default"/>
                <w:sz w:val="18"/>
                <w:szCs w:val="18"/>
                <w:vertAlign w:val="baseline"/>
                <w:lang w:val="en-US" w:eastAsia="zh-CN"/>
              </w:rPr>
              <w:t>G</w:t>
            </w:r>
            <w:r>
              <w:rPr>
                <w:rFonts w:hint="eastAsia"/>
                <w:sz w:val="18"/>
                <w:szCs w:val="18"/>
                <w:vertAlign w:val="baseline"/>
                <w:lang w:val="en-US" w:eastAsia="zh-CN"/>
              </w:rPr>
              <w:t>（差距）</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30%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G得分=应得分</w:t>
            </w:r>
            <w:r>
              <w:rPr>
                <w:rFonts w:hint="default"/>
                <w:sz w:val="18"/>
                <w:szCs w:val="18"/>
                <w:vertAlign w:val="baseline"/>
                <w:lang w:val="en-US" w:eastAsia="zh-CN"/>
              </w:rPr>
              <w:t>×</w:t>
            </w:r>
            <w:r>
              <w:rPr>
                <w:rFonts w:hint="eastAsia"/>
                <w:sz w:val="18"/>
                <w:szCs w:val="18"/>
                <w:vertAlign w:val="baseline"/>
                <w:lang w:val="en-US" w:eastAsia="zh-CN"/>
              </w:rPr>
              <w:t>G得分率</w:t>
            </w:r>
            <w:r>
              <w:rPr>
                <w:rFonts w:hint="default"/>
                <w:sz w:val="18"/>
                <w:szCs w:val="18"/>
                <w:vertAlign w:val="baseline"/>
                <w:lang w:val="en-US" w:eastAsia="zh-CN"/>
              </w:rPr>
              <w:t>×</w:t>
            </w:r>
            <w:r>
              <w:rPr>
                <w:rFonts w:hint="eastAsia"/>
                <w:sz w:val="18"/>
                <w:szCs w:val="18"/>
                <w:vertAlign w:val="baseline"/>
                <w:lang w:val="en-US" w:eastAsia="zh-CN"/>
              </w:rPr>
              <w:t>A得分率</w:t>
            </w:r>
            <w:r>
              <w:rPr>
                <w:rFonts w:hint="default"/>
                <w:sz w:val="18"/>
                <w:szCs w:val="18"/>
                <w:vertAlign w:val="baseline"/>
                <w:lang w:val="en-US" w:eastAsia="zh-CN"/>
              </w:rPr>
              <w:t>×</w:t>
            </w:r>
            <w:r>
              <w:rPr>
                <w:rFonts w:hint="eastAsia"/>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E（影响）</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30%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E得分=应得分</w:t>
            </w:r>
            <w:r>
              <w:rPr>
                <w:rFonts w:hint="default"/>
                <w:sz w:val="18"/>
                <w:szCs w:val="18"/>
                <w:vertAlign w:val="baseline"/>
                <w:lang w:val="en-US" w:eastAsia="zh-CN"/>
              </w:rPr>
              <w:t>×</w:t>
            </w:r>
            <w:r>
              <w:rPr>
                <w:rFonts w:hint="eastAsia"/>
                <w:sz w:val="18"/>
                <w:szCs w:val="18"/>
                <w:vertAlign w:val="baseline"/>
                <w:lang w:val="en-US" w:eastAsia="zh-CN"/>
              </w:rPr>
              <w:t>E得分率</w:t>
            </w:r>
            <w:r>
              <w:rPr>
                <w:rFonts w:hint="default"/>
                <w:sz w:val="18"/>
                <w:szCs w:val="18"/>
                <w:vertAlign w:val="baseline"/>
                <w:lang w:val="en-US" w:eastAsia="zh-CN"/>
              </w:rPr>
              <w:t>×</w:t>
            </w:r>
            <w:r>
              <w:rPr>
                <w:rFonts w:hint="eastAsia"/>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总分</w:t>
            </w:r>
          </w:p>
        </w:tc>
        <w:tc>
          <w:tcPr>
            <w:tcW w:w="1350" w:type="dxa"/>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100%</w:t>
            </w:r>
          </w:p>
        </w:tc>
        <w:tc>
          <w:tcPr>
            <w:tcW w:w="5278" w:type="dxa"/>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实际得分=A得分+I得分+G得分+E得分</w:t>
            </w:r>
          </w:p>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单元得分率=单元内各要素实际总得分/应得分</w:t>
            </w:r>
            <w:r>
              <w:rPr>
                <w:rFonts w:hint="default"/>
                <w:sz w:val="18"/>
                <w:szCs w:val="18"/>
                <w:vertAlign w:val="baseline"/>
                <w:lang w:val="en-US" w:eastAsia="zh-CN"/>
              </w:rPr>
              <w:t>×</w:t>
            </w:r>
            <w:r>
              <w:rPr>
                <w:rFonts w:hint="eastAsia"/>
                <w:sz w:val="18"/>
                <w:szCs w:val="18"/>
                <w:vertAlign w:val="baseline"/>
                <w:lang w:val="en-US" w:eastAsia="zh-CN"/>
              </w:rPr>
              <w:t>100%</w:t>
            </w:r>
          </w:p>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总得分率=实际总得分/应得分</w:t>
            </w:r>
            <w:r>
              <w:rPr>
                <w:rFonts w:hint="default"/>
                <w:sz w:val="18"/>
                <w:szCs w:val="18"/>
                <w:vertAlign w:val="baseline"/>
                <w:lang w:val="en-US" w:eastAsia="zh-CN"/>
              </w:rPr>
              <w:t>×</w:t>
            </w:r>
            <w:r>
              <w:rPr>
                <w:rFonts w:hint="eastAsia"/>
                <w:sz w:val="18"/>
                <w:szCs w:val="18"/>
                <w:vertAlign w:val="baseline"/>
                <w:lang w:val="en-US" w:eastAsia="zh-CN"/>
              </w:rPr>
              <w:t>100%</w:t>
            </w:r>
          </w:p>
        </w:tc>
      </w:tr>
    </w:tbl>
    <w:p>
      <w:pPr>
        <w:pStyle w:val="21"/>
        <w:rPr>
          <w:rFonts w:hint="default" w:ascii="宋体" w:hAnsi="Times New Roman" w:eastAsia="宋体" w:cs="Times New Roman"/>
          <w:sz w:val="21"/>
          <w:szCs w:val="22"/>
          <w:lang w:val="en-US" w:eastAsia="zh-CN" w:bidi="ar-SA"/>
        </w:rPr>
      </w:pPr>
    </w:p>
    <w:p>
      <w:pPr>
        <w:pStyle w:val="21"/>
        <w:numPr>
          <w:ilvl w:val="0"/>
          <w:numId w:val="26"/>
        </w:numPr>
        <w:ind w:left="420" w:leftChars="0" w:firstLine="0" w:firstLineChars="0"/>
        <w:rPr>
          <w:rFonts w:hint="default"/>
          <w:szCs w:val="22"/>
          <w:lang w:val="en-US" w:eastAsia="zh-CN"/>
        </w:rPr>
      </w:pPr>
      <w:r>
        <w:rPr>
          <w:rFonts w:hint="eastAsia"/>
          <w:szCs w:val="22"/>
          <w:lang w:val="en-US" w:eastAsia="zh-CN"/>
        </w:rPr>
        <w:t>计分</w:t>
      </w:r>
    </w:p>
    <w:p>
      <w:pPr>
        <w:pStyle w:val="21"/>
        <w:numPr>
          <w:ilvl w:val="0"/>
          <w:numId w:val="0"/>
        </w:numPr>
        <w:ind w:firstLine="420"/>
        <w:rPr>
          <w:rFonts w:hint="default"/>
          <w:lang w:val="en-US" w:eastAsia="zh-CN"/>
        </w:rPr>
      </w:pPr>
      <w:r>
        <w:rPr>
          <w:rFonts w:hint="eastAsia"/>
          <w:lang w:val="en-US" w:eastAsia="zh-CN"/>
        </w:rPr>
        <w:t>为了深入分析体系建设情况，采取“双基准-否决项”评审方法对各要素进行计分，并综合判断体系运行结果，详见表3。</w:t>
      </w:r>
    </w:p>
    <w:p>
      <w:pPr>
        <w:pStyle w:val="21"/>
        <w:numPr>
          <w:ilvl w:val="0"/>
          <w:numId w:val="0"/>
        </w:numPr>
        <w:ind w:firstLine="420"/>
        <w:jc w:val="center"/>
        <w:rPr>
          <w:rFonts w:hint="default"/>
          <w:b/>
          <w:bCs/>
          <w:lang w:val="en-US" w:eastAsia="zh-CN"/>
        </w:rPr>
      </w:pPr>
      <w:r>
        <w:rPr>
          <w:rFonts w:hint="eastAsia" w:ascii="黑体" w:hAnsi="黑体" w:eastAsia="黑体" w:cs="黑体"/>
          <w:b w:val="0"/>
          <w:bCs w:val="0"/>
          <w:lang w:val="en-US" w:eastAsia="zh-CN"/>
        </w:rPr>
        <w:t>表3 计分表</w:t>
      </w:r>
    </w:p>
    <w:tbl>
      <w:tblPr>
        <w:tblStyle w:val="31"/>
        <w:tblW w:w="0" w:type="auto"/>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2703"/>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5" w:type="dxa"/>
            <w:gridSpan w:val="2"/>
          </w:tcPr>
          <w:p>
            <w:pPr>
              <w:pStyle w:val="21"/>
              <w:numPr>
                <w:ilvl w:val="0"/>
                <w:numId w:val="0"/>
              </w:num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双基准</w:t>
            </w:r>
          </w:p>
        </w:tc>
        <w:tc>
          <w:tcPr>
            <w:tcW w:w="2950" w:type="dxa"/>
            <w:vMerge w:val="restart"/>
            <w:vAlign w:val="center"/>
          </w:tcPr>
          <w:p>
            <w:pPr>
              <w:pStyle w:val="21"/>
              <w:numPr>
                <w:ilvl w:val="0"/>
                <w:numId w:val="0"/>
              </w:num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tcPr>
          <w:p>
            <w:pPr>
              <w:pStyle w:val="21"/>
              <w:numPr>
                <w:ilvl w:val="0"/>
                <w:numId w:val="0"/>
              </w:num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基准1</w:t>
            </w:r>
          </w:p>
        </w:tc>
        <w:tc>
          <w:tcPr>
            <w:tcW w:w="2703" w:type="dxa"/>
          </w:tcPr>
          <w:p>
            <w:pPr>
              <w:pStyle w:val="21"/>
              <w:numPr>
                <w:ilvl w:val="0"/>
                <w:numId w:val="0"/>
              </w:num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基准2</w:t>
            </w:r>
          </w:p>
        </w:tc>
        <w:tc>
          <w:tcPr>
            <w:tcW w:w="2950" w:type="dxa"/>
            <w:vMerge w:val="continue"/>
          </w:tcPr>
          <w:p>
            <w:pPr>
              <w:pStyle w:val="21"/>
              <w:numPr>
                <w:ilvl w:val="0"/>
                <w:numId w:val="0"/>
              </w:numPr>
              <w:jc w:val="center"/>
              <w:rPr>
                <w:rFonts w:hint="eastAsia" w:ascii="黑体" w:hAnsi="黑体" w:eastAsia="黑体" w:cs="黑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02" w:type="dxa"/>
            <w:vAlign w:val="center"/>
          </w:tcPr>
          <w:p>
            <w:pPr>
              <w:pStyle w:val="21"/>
              <w:numPr>
                <w:ilvl w:val="0"/>
                <w:numId w:val="0"/>
              </w:numPr>
              <w:jc w:val="center"/>
              <w:rPr>
                <w:rFonts w:hint="eastAsia"/>
                <w:sz w:val="18"/>
                <w:szCs w:val="18"/>
                <w:vertAlign w:val="baseline"/>
                <w:lang w:val="en-US" w:eastAsia="zh-CN"/>
              </w:rPr>
            </w:pPr>
            <w:r>
              <w:rPr>
                <w:rFonts w:hint="eastAsia"/>
                <w:sz w:val="18"/>
                <w:szCs w:val="18"/>
                <w:vertAlign w:val="baseline"/>
                <w:lang w:val="en-US" w:eastAsia="zh-CN"/>
              </w:rPr>
              <w:t>单元得分率</w:t>
            </w:r>
          </w:p>
          <w:p>
            <w:pPr>
              <w:pStyle w:val="21"/>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（取各单元得分率中的最低值）</w:t>
            </w:r>
          </w:p>
        </w:tc>
        <w:tc>
          <w:tcPr>
            <w:tcW w:w="2703" w:type="dxa"/>
            <w:vAlign w:val="center"/>
          </w:tcPr>
          <w:p>
            <w:pPr>
              <w:pStyle w:val="21"/>
              <w:numPr>
                <w:ilvl w:val="0"/>
                <w:numId w:val="0"/>
              </w:numPr>
              <w:jc w:val="center"/>
              <w:rPr>
                <w:rFonts w:hint="default"/>
                <w:sz w:val="18"/>
                <w:szCs w:val="18"/>
                <w:lang w:val="en-US" w:eastAsia="zh-CN"/>
              </w:rPr>
            </w:pPr>
            <w:r>
              <w:rPr>
                <w:rFonts w:hint="eastAsia"/>
                <w:sz w:val="18"/>
                <w:szCs w:val="18"/>
                <w:lang w:val="en-US" w:eastAsia="zh-CN"/>
              </w:rPr>
              <w:t>总得分率</w:t>
            </w:r>
          </w:p>
        </w:tc>
        <w:tc>
          <w:tcPr>
            <w:tcW w:w="2950" w:type="dxa"/>
            <w:vAlign w:val="center"/>
          </w:tcPr>
          <w:p>
            <w:pPr>
              <w:pStyle w:val="21"/>
              <w:numPr>
                <w:ilvl w:val="0"/>
                <w:numId w:val="0"/>
              </w:numPr>
              <w:jc w:val="center"/>
              <w:rPr>
                <w:rFonts w:hint="default"/>
                <w:sz w:val="18"/>
                <w:szCs w:val="18"/>
                <w:vertAlign w:val="baseline"/>
                <w:lang w:val="en-US" w:eastAsia="zh-CN"/>
              </w:rPr>
            </w:pPr>
            <w:r>
              <w:rPr>
                <w:rFonts w:hint="eastAsia"/>
                <w:sz w:val="18"/>
                <w:szCs w:val="18"/>
                <w:lang w:val="en-US" w:eastAsia="zh-CN"/>
              </w:rPr>
              <w:t>审</w:t>
            </w:r>
            <w:r>
              <w:rPr>
                <w:rFonts w:hint="eastAsia" w:ascii="宋体" w:hAnsi="Times New Roman" w:eastAsia="宋体" w:cs="Times New Roman"/>
                <w:sz w:val="18"/>
                <w:szCs w:val="18"/>
                <w:lang w:val="en-US" w:eastAsia="zh-CN" w:bidi="ar-SA"/>
              </w:rPr>
              <w:t>核周期内发生</w:t>
            </w:r>
            <w:r>
              <w:rPr>
                <w:rFonts w:hint="eastAsia" w:cs="Times New Roman"/>
                <w:sz w:val="18"/>
                <w:szCs w:val="18"/>
                <w:lang w:val="en-US" w:eastAsia="zh-CN" w:bidi="ar-SA"/>
              </w:rPr>
              <w:t>一般及重伤以上事故</w:t>
            </w:r>
            <w:r>
              <w:rPr>
                <w:rFonts w:hint="eastAsia" w:ascii="宋体" w:hAnsi="Times New Roman" w:eastAsia="宋体" w:cs="Times New Roman"/>
                <w:sz w:val="18"/>
                <w:szCs w:val="18"/>
                <w:lang w:val="en-US" w:eastAsia="zh-CN" w:bidi="ar-SA"/>
              </w:rPr>
              <w:t>时，</w:t>
            </w:r>
            <w:r>
              <w:rPr>
                <w:rFonts w:hint="eastAsia" w:cs="Times New Roman"/>
                <w:sz w:val="18"/>
                <w:szCs w:val="18"/>
                <w:lang w:val="en-US" w:eastAsia="zh-CN" w:bidi="ar-SA"/>
              </w:rPr>
              <w:t>直接</w:t>
            </w:r>
            <w:r>
              <w:rPr>
                <w:rFonts w:hint="eastAsia" w:ascii="宋体" w:hAnsi="Times New Roman" w:eastAsia="宋体" w:cs="Times New Roman"/>
                <w:sz w:val="18"/>
                <w:szCs w:val="18"/>
                <w:lang w:val="en-US" w:eastAsia="zh-CN" w:bidi="ar-SA"/>
              </w:rPr>
              <w:t>取消认可评定。</w:t>
            </w:r>
          </w:p>
        </w:tc>
      </w:tr>
    </w:tbl>
    <w:p>
      <w:pPr>
        <w:pStyle w:val="51"/>
        <w:numPr>
          <w:ilvl w:val="1"/>
          <w:numId w:val="0"/>
        </w:numPr>
        <w:bidi w:val="0"/>
        <w:ind w:leftChars="0" w:firstLine="420"/>
        <w:outlineLvl w:val="9"/>
        <w:rPr>
          <w:rFonts w:hint="default" w:ascii="宋体" w:hAnsi="Times New Roman" w:eastAsia="宋体" w:cs="Times New Roman"/>
          <w:sz w:val="18"/>
          <w:szCs w:val="18"/>
          <w:lang w:val="en-US" w:eastAsia="zh-CN" w:bidi="ar-SA"/>
        </w:rPr>
      </w:pPr>
      <w:bookmarkStart w:id="56" w:name="_Toc8385"/>
      <w:bookmarkStart w:id="57" w:name="_Toc7456"/>
      <w:bookmarkStart w:id="58" w:name="_Toc3"/>
      <w:bookmarkStart w:id="59" w:name="_Toc7853"/>
      <w:r>
        <w:rPr>
          <w:rFonts w:hint="eastAsia" w:ascii="宋体" w:hAnsi="Times New Roman" w:eastAsia="宋体" w:cs="Times New Roman"/>
          <w:sz w:val="18"/>
          <w:szCs w:val="18"/>
          <w:lang w:val="en-US" w:eastAsia="zh-CN" w:bidi="ar-SA"/>
        </w:rPr>
        <w:t>备注：事故标准按照《生产安全事故报告和调查处理条例》（国务院令第493号）和GB6441-86《企业职工伤亡事故分类标准》执行。</w:t>
      </w:r>
      <w:bookmarkEnd w:id="56"/>
      <w:bookmarkEnd w:id="57"/>
      <w:bookmarkEnd w:id="58"/>
    </w:p>
    <w:p>
      <w:pPr>
        <w:pStyle w:val="51"/>
        <w:bidi w:val="0"/>
        <w:ind w:left="0" w:leftChars="0" w:firstLine="0" w:firstLineChars="0"/>
        <w:rPr>
          <w:rFonts w:hint="eastAsia"/>
          <w:lang w:val="en-US" w:eastAsia="zh-CN"/>
        </w:rPr>
      </w:pPr>
      <w:bookmarkStart w:id="60" w:name="_Toc16314"/>
      <w:bookmarkStart w:id="61" w:name="_Toc26246"/>
      <w:r>
        <w:rPr>
          <w:rFonts w:hint="eastAsia"/>
          <w:lang w:val="en-US" w:eastAsia="zh-CN"/>
        </w:rPr>
        <w:t>认定评价</w:t>
      </w:r>
      <w:bookmarkEnd w:id="60"/>
      <w:bookmarkEnd w:id="61"/>
    </w:p>
    <w:p>
      <w:pPr>
        <w:pStyle w:val="21"/>
        <w:rPr>
          <w:rFonts w:hint="eastAsia"/>
          <w:lang w:val="en-US" w:eastAsia="zh-CN"/>
        </w:rPr>
      </w:pPr>
      <w:r>
        <w:rPr>
          <w:rFonts w:hint="eastAsia"/>
          <w:lang w:val="en-US" w:eastAsia="zh-CN"/>
        </w:rPr>
        <w:t>企业认定评价等级基于体系建设情况，从全业务、全过程、全绩效中对体系运行结果进行判定，并给出最终认可评定的结论（详见表4），以助于企业通过对各单元得分率和总得分率情况深入分析企业经营过程中存在的问题，探寻问题发生的根本原因，提出有效的解决方案和整改措施，形成闭环管理，持续提高企业安全生产管理水平，持续提升安全生产管理绩效。</w:t>
      </w:r>
    </w:p>
    <w:p>
      <w:pPr>
        <w:pStyle w:val="21"/>
        <w:jc w:val="center"/>
        <w:rPr>
          <w:rFonts w:hint="default"/>
          <w:lang w:val="en-US" w:eastAsia="zh-CN"/>
        </w:rPr>
      </w:pPr>
      <w:r>
        <w:rPr>
          <w:rFonts w:hint="eastAsia" w:ascii="黑体" w:hAnsi="黑体" w:eastAsia="黑体" w:cs="黑体"/>
          <w:b w:val="0"/>
          <w:bCs w:val="0"/>
          <w:szCs w:val="22"/>
          <w:lang w:val="en-US" w:eastAsia="zh-CN"/>
        </w:rPr>
        <w:t>表4 等级认定评价表</w:t>
      </w:r>
    </w:p>
    <w:tbl>
      <w:tblPr>
        <w:tblStyle w:val="31"/>
        <w:tblW w:w="4365" w:type="pc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917"/>
        <w:gridCol w:w="1992"/>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Merge w:val="restar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等级</w:t>
            </w:r>
          </w:p>
        </w:tc>
        <w:tc>
          <w:tcPr>
            <w:tcW w:w="1147"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基准1</w:t>
            </w:r>
          </w:p>
        </w:tc>
        <w:tc>
          <w:tcPr>
            <w:tcW w:w="1192"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基准2</w:t>
            </w:r>
          </w:p>
        </w:tc>
        <w:tc>
          <w:tcPr>
            <w:tcW w:w="1979" w:type="pct"/>
            <w:vMerge w:val="restar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Merge w:val="continue"/>
            <w:vAlign w:val="center"/>
          </w:tcPr>
          <w:p>
            <w:pPr>
              <w:pStyle w:val="21"/>
              <w:ind w:left="0" w:leftChars="0" w:firstLine="0" w:firstLineChars="0"/>
              <w:jc w:val="center"/>
              <w:rPr>
                <w:rFonts w:hint="eastAsia"/>
                <w:sz w:val="18"/>
                <w:szCs w:val="18"/>
                <w:vertAlign w:val="baseline"/>
                <w:lang w:val="en-US" w:eastAsia="zh-CN"/>
              </w:rPr>
            </w:pPr>
          </w:p>
        </w:tc>
        <w:tc>
          <w:tcPr>
            <w:tcW w:w="1147"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单元得分率</w:t>
            </w:r>
          </w:p>
        </w:tc>
        <w:tc>
          <w:tcPr>
            <w:tcW w:w="1192"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总得分率</w:t>
            </w:r>
          </w:p>
        </w:tc>
        <w:tc>
          <w:tcPr>
            <w:tcW w:w="1979" w:type="pct"/>
            <w:vMerge w:val="continue"/>
            <w:vAlign w:val="center"/>
          </w:tcPr>
          <w:p>
            <w:pPr>
              <w:pStyle w:val="21"/>
              <w:ind w:left="0" w:leftChars="0" w:firstLine="0" w:firstLineChars="0"/>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≥95%</w:t>
            </w:r>
          </w:p>
        </w:tc>
        <w:tc>
          <w:tcPr>
            <w:tcW w:w="1979" w:type="pct"/>
            <w:vMerge w:val="restart"/>
            <w:vAlign w:val="center"/>
          </w:tcPr>
          <w:p>
            <w:pPr>
              <w:pStyle w:val="21"/>
              <w:ind w:left="0" w:leftChars="0" w:firstLine="0" w:firstLineChars="0"/>
              <w:jc w:val="both"/>
              <w:rPr>
                <w:rFonts w:hint="eastAsia"/>
                <w:sz w:val="18"/>
                <w:szCs w:val="18"/>
                <w:lang w:val="en-US" w:eastAsia="zh-CN"/>
              </w:rPr>
            </w:pPr>
            <w:r>
              <w:rPr>
                <w:rFonts w:hint="eastAsia"/>
                <w:sz w:val="18"/>
                <w:szCs w:val="18"/>
                <w:lang w:val="en-US" w:eastAsia="zh-CN"/>
              </w:rPr>
              <w:t>结合否决项，取基准1和基准2中的最小值作为最终等级认定评价结果。</w:t>
            </w:r>
          </w:p>
          <w:p>
            <w:pPr>
              <w:pStyle w:val="21"/>
              <w:ind w:left="0" w:leftChars="0" w:firstLine="0" w:firstLineChars="0"/>
              <w:jc w:val="both"/>
              <w:rPr>
                <w:rFonts w:hint="eastAsia"/>
                <w:sz w:val="18"/>
                <w:szCs w:val="18"/>
                <w:lang w:val="en-US" w:eastAsia="zh-CN"/>
              </w:rPr>
            </w:pPr>
            <w:r>
              <w:rPr>
                <w:rFonts w:hint="eastAsia"/>
                <w:sz w:val="18"/>
                <w:szCs w:val="18"/>
                <w:lang w:val="en-US" w:eastAsia="zh-CN"/>
              </w:rPr>
              <w:t>说明：</w:t>
            </w:r>
          </w:p>
          <w:p>
            <w:pPr>
              <w:pStyle w:val="21"/>
              <w:numPr>
                <w:ilvl w:val="0"/>
                <w:numId w:val="27"/>
              </w:numPr>
              <w:ind w:left="0" w:leftChars="0" w:firstLine="0" w:firstLineChars="0"/>
              <w:jc w:val="both"/>
              <w:rPr>
                <w:rFonts w:hint="eastAsia"/>
                <w:sz w:val="18"/>
                <w:szCs w:val="18"/>
                <w:lang w:val="en-US" w:eastAsia="zh-CN"/>
              </w:rPr>
            </w:pPr>
            <w:r>
              <w:rPr>
                <w:rFonts w:hint="eastAsia"/>
                <w:sz w:val="18"/>
                <w:szCs w:val="18"/>
                <w:lang w:val="en-US" w:eastAsia="zh-CN"/>
              </w:rPr>
              <w:t>若存在否决项，则直接不予认定；</w:t>
            </w:r>
          </w:p>
          <w:p>
            <w:pPr>
              <w:pStyle w:val="21"/>
              <w:numPr>
                <w:ilvl w:val="0"/>
                <w:numId w:val="27"/>
              </w:numPr>
              <w:ind w:left="0" w:leftChars="0" w:firstLine="0" w:firstLineChars="0"/>
              <w:jc w:val="both"/>
              <w:rPr>
                <w:rFonts w:hint="default"/>
                <w:sz w:val="18"/>
                <w:szCs w:val="18"/>
                <w:lang w:val="en-US" w:eastAsia="zh-CN"/>
              </w:rPr>
            </w:pPr>
            <w:r>
              <w:rPr>
                <w:rFonts w:hint="eastAsia"/>
                <w:sz w:val="18"/>
                <w:szCs w:val="18"/>
                <w:lang w:val="en-US" w:eastAsia="zh-CN"/>
              </w:rPr>
              <w:t>若不存在否决项，则取“单元得分率”与“总得分率”两者中的最小值作为评价结果。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≥85%</w:t>
            </w:r>
          </w:p>
        </w:tc>
        <w:tc>
          <w:tcPr>
            <w:tcW w:w="1979" w:type="pct"/>
            <w:vMerge w:val="continue"/>
            <w:vAlign w:val="center"/>
          </w:tcPr>
          <w:p>
            <w:pPr>
              <w:pStyle w:val="21"/>
              <w:jc w:val="center"/>
              <w:rPr>
                <w:rFonts w:hint="eastAsia"/>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≥75%</w:t>
            </w:r>
          </w:p>
        </w:tc>
        <w:tc>
          <w:tcPr>
            <w:tcW w:w="1979" w:type="pct"/>
            <w:vMerge w:val="continue"/>
            <w:vAlign w:val="center"/>
          </w:tcPr>
          <w:p>
            <w:pPr>
              <w:pStyle w:val="21"/>
              <w:jc w:val="center"/>
              <w:rPr>
                <w:rFonts w:hint="eastAsia"/>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2星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≥60%</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≥65%</w:t>
            </w:r>
          </w:p>
        </w:tc>
        <w:tc>
          <w:tcPr>
            <w:tcW w:w="1979" w:type="pct"/>
            <w:vMerge w:val="continue"/>
            <w:vAlign w:val="center"/>
          </w:tcPr>
          <w:p>
            <w:pPr>
              <w:pStyle w:val="21"/>
              <w:jc w:val="center"/>
              <w:rPr>
                <w:rFonts w:hint="eastAsia"/>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1星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≥60%</w:t>
            </w:r>
          </w:p>
        </w:tc>
        <w:tc>
          <w:tcPr>
            <w:tcW w:w="1979" w:type="pct"/>
            <w:vMerge w:val="continue"/>
            <w:vAlign w:val="center"/>
          </w:tcPr>
          <w:p>
            <w:pPr>
              <w:pStyle w:val="21"/>
              <w:jc w:val="center"/>
              <w:rPr>
                <w:rFonts w:hint="eastAsia"/>
                <w:szCs w:val="18"/>
                <w:vertAlign w:val="baseline"/>
                <w:lang w:val="en-US" w:eastAsia="zh-CN"/>
              </w:rPr>
            </w:pPr>
          </w:p>
        </w:tc>
      </w:tr>
      <w:bookmarkEnd w:id="59"/>
    </w:tbl>
    <w:p>
      <w:pPr>
        <w:pStyle w:val="94"/>
        <w:rPr>
          <w:rFonts w:hint="default"/>
          <w:szCs w:val="22"/>
          <w:lang w:val="en-US" w:eastAsia="zh-CN"/>
        </w:rPr>
      </w:pPr>
      <w:bookmarkStart w:id="62" w:name="_Toc18619"/>
      <w:bookmarkStart w:id="63" w:name="_Toc19835"/>
      <w:r>
        <w:rPr>
          <w:rFonts w:hint="eastAsia"/>
          <w:szCs w:val="22"/>
          <w:lang w:val="en-US" w:eastAsia="zh-CN"/>
        </w:rPr>
        <w:t>评价程序</w:t>
      </w:r>
      <w:bookmarkEnd w:id="62"/>
      <w:bookmarkEnd w:id="63"/>
    </w:p>
    <w:p>
      <w:pPr>
        <w:pStyle w:val="51"/>
        <w:bidi w:val="0"/>
        <w:ind w:left="0" w:leftChars="0" w:firstLine="0" w:firstLineChars="0"/>
        <w:rPr>
          <w:rFonts w:hint="eastAsia"/>
          <w:highlight w:val="none"/>
          <w:lang w:val="en-US" w:eastAsia="zh-CN"/>
        </w:rPr>
      </w:pPr>
      <w:bookmarkStart w:id="64" w:name="_Toc7313"/>
      <w:bookmarkStart w:id="65" w:name="_Toc19645"/>
      <w:r>
        <w:rPr>
          <w:rFonts w:hint="eastAsia"/>
          <w:highlight w:val="none"/>
          <w:lang w:val="en-US" w:eastAsia="zh-CN"/>
        </w:rPr>
        <w:t>申请评价</w:t>
      </w:r>
      <w:bookmarkEnd w:id="64"/>
      <w:bookmarkEnd w:id="65"/>
    </w:p>
    <w:p>
      <w:pPr>
        <w:pStyle w:val="21"/>
        <w:rPr>
          <w:rFonts w:hint="eastAsia"/>
          <w:highlight w:val="none"/>
          <w:lang w:val="en-US" w:eastAsia="zh-CN"/>
        </w:rPr>
      </w:pPr>
      <w:r>
        <w:rPr>
          <w:rFonts w:hint="eastAsia"/>
          <w:highlight w:val="none"/>
          <w:lang w:val="en-US" w:eastAsia="zh-CN"/>
        </w:rPr>
        <w:t>当委托第三方评价机构开展评价时（即第二方评价、第三方评价），企业向评价机构提交评价申请，申请资料包括但不限于以下：</w:t>
      </w:r>
    </w:p>
    <w:p>
      <w:pPr>
        <w:pStyle w:val="21"/>
        <w:numPr>
          <w:ilvl w:val="0"/>
          <w:numId w:val="28"/>
        </w:numPr>
        <w:rPr>
          <w:rFonts w:hint="eastAsia"/>
          <w:szCs w:val="22"/>
          <w:lang w:val="en-US" w:eastAsia="zh-CN"/>
        </w:rPr>
      </w:pPr>
      <w:r>
        <w:rPr>
          <w:rFonts w:hint="eastAsia"/>
          <w:szCs w:val="22"/>
          <w:lang w:val="en-US" w:eastAsia="zh-CN"/>
        </w:rPr>
        <w:t>营业执照及资质材料；</w:t>
      </w:r>
    </w:p>
    <w:p>
      <w:pPr>
        <w:pStyle w:val="21"/>
        <w:numPr>
          <w:ilvl w:val="0"/>
          <w:numId w:val="28"/>
        </w:numPr>
        <w:rPr>
          <w:rFonts w:hint="eastAsia"/>
          <w:szCs w:val="22"/>
          <w:lang w:val="en-US" w:eastAsia="zh-CN"/>
        </w:rPr>
      </w:pPr>
      <w:r>
        <w:rPr>
          <w:rFonts w:hint="eastAsia"/>
          <w:szCs w:val="22"/>
          <w:lang w:val="en-US" w:eastAsia="zh-CN"/>
        </w:rPr>
        <w:t>基本情况及报告期内的业务经营情况；</w:t>
      </w:r>
    </w:p>
    <w:p>
      <w:pPr>
        <w:pStyle w:val="21"/>
        <w:numPr>
          <w:ilvl w:val="0"/>
          <w:numId w:val="28"/>
        </w:numPr>
        <w:rPr>
          <w:rFonts w:hint="eastAsia"/>
          <w:szCs w:val="22"/>
          <w:lang w:val="en-US" w:eastAsia="zh-CN"/>
        </w:rPr>
      </w:pPr>
      <w:r>
        <w:rPr>
          <w:rFonts w:hint="eastAsia"/>
          <w:szCs w:val="22"/>
          <w:lang w:val="en-US" w:eastAsia="zh-CN"/>
        </w:rPr>
        <w:t>近两年安全生产情况；</w:t>
      </w:r>
    </w:p>
    <w:p>
      <w:pPr>
        <w:pStyle w:val="21"/>
        <w:numPr>
          <w:ilvl w:val="0"/>
          <w:numId w:val="28"/>
        </w:numPr>
        <w:rPr>
          <w:rFonts w:hint="eastAsia"/>
          <w:szCs w:val="22"/>
          <w:lang w:val="en-US" w:eastAsia="zh-CN"/>
        </w:rPr>
      </w:pPr>
      <w:r>
        <w:rPr>
          <w:rFonts w:hint="eastAsia"/>
          <w:szCs w:val="22"/>
          <w:lang w:val="en-US" w:eastAsia="zh-CN"/>
        </w:rPr>
        <w:t>安全与风险综合管理体系建设文件；</w:t>
      </w:r>
    </w:p>
    <w:p>
      <w:pPr>
        <w:pStyle w:val="21"/>
        <w:numPr>
          <w:ilvl w:val="0"/>
          <w:numId w:val="28"/>
        </w:numPr>
        <w:rPr>
          <w:rFonts w:hint="eastAsia"/>
          <w:szCs w:val="22"/>
          <w:lang w:val="en-US" w:eastAsia="zh-CN"/>
        </w:rPr>
      </w:pPr>
      <w:r>
        <w:rPr>
          <w:rFonts w:hint="eastAsia"/>
          <w:szCs w:val="22"/>
          <w:lang w:val="en-US" w:eastAsia="zh-CN"/>
        </w:rPr>
        <w:t>最近一次的年度内审资料；</w:t>
      </w:r>
    </w:p>
    <w:p>
      <w:pPr>
        <w:pStyle w:val="21"/>
        <w:numPr>
          <w:ilvl w:val="0"/>
          <w:numId w:val="28"/>
        </w:numPr>
        <w:rPr>
          <w:rFonts w:hint="eastAsia"/>
          <w:szCs w:val="22"/>
          <w:lang w:val="en-US" w:eastAsia="zh-CN"/>
        </w:rPr>
      </w:pPr>
      <w:r>
        <w:rPr>
          <w:rFonts w:hint="eastAsia"/>
          <w:szCs w:val="22"/>
          <w:lang w:val="en-US" w:eastAsia="zh-CN"/>
        </w:rPr>
        <w:t>最近一次的年度管理评审资料；</w:t>
      </w:r>
    </w:p>
    <w:p>
      <w:pPr>
        <w:pStyle w:val="21"/>
        <w:numPr>
          <w:ilvl w:val="0"/>
          <w:numId w:val="28"/>
        </w:numPr>
        <w:rPr>
          <w:rFonts w:hint="default"/>
          <w:szCs w:val="22"/>
          <w:lang w:val="en-US" w:eastAsia="zh-CN"/>
        </w:rPr>
      </w:pPr>
      <w:r>
        <w:rPr>
          <w:rFonts w:hint="eastAsia"/>
          <w:szCs w:val="22"/>
          <w:lang w:val="en-US" w:eastAsia="zh-CN"/>
        </w:rPr>
        <w:t>其他资料。</w:t>
      </w:r>
    </w:p>
    <w:p>
      <w:pPr>
        <w:pStyle w:val="51"/>
        <w:bidi w:val="0"/>
        <w:ind w:left="0" w:leftChars="0" w:firstLine="0" w:firstLineChars="0"/>
        <w:rPr>
          <w:rFonts w:hint="eastAsia"/>
          <w:highlight w:val="none"/>
          <w:lang w:val="en-US" w:eastAsia="zh-CN"/>
        </w:rPr>
      </w:pPr>
      <w:bookmarkStart w:id="66" w:name="_Toc26910"/>
      <w:bookmarkStart w:id="67" w:name="_Toc20307"/>
      <w:r>
        <w:rPr>
          <w:rFonts w:hint="eastAsia"/>
          <w:highlight w:val="none"/>
          <w:lang w:val="en-US" w:eastAsia="zh-CN"/>
        </w:rPr>
        <w:t>组织评价</w:t>
      </w:r>
      <w:bookmarkEnd w:id="66"/>
      <w:bookmarkEnd w:id="67"/>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评价机构成立评价组，由评价组根据本文件开展评价工作。</w:t>
      </w:r>
    </w:p>
    <w:p>
      <w:pPr>
        <w:pStyle w:val="51"/>
        <w:bidi w:val="0"/>
        <w:ind w:left="0" w:leftChars="0" w:firstLine="0" w:firstLineChars="0"/>
        <w:rPr>
          <w:rFonts w:hint="eastAsia"/>
          <w:szCs w:val="22"/>
          <w:lang w:val="en-US" w:eastAsia="zh-CN"/>
        </w:rPr>
      </w:pPr>
      <w:bookmarkStart w:id="68" w:name="_Toc6322"/>
      <w:bookmarkStart w:id="69" w:name="_Toc17657"/>
      <w:r>
        <w:rPr>
          <w:rFonts w:hint="eastAsia"/>
          <w:highlight w:val="none"/>
          <w:lang w:val="en-US" w:eastAsia="zh-CN"/>
        </w:rPr>
        <w:t>评价结果</w:t>
      </w:r>
      <w:bookmarkEnd w:id="68"/>
      <w:bookmarkEnd w:id="69"/>
    </w:p>
    <w:p>
      <w:pPr>
        <w:pStyle w:val="51"/>
        <w:numPr>
          <w:ilvl w:val="1"/>
          <w:numId w:val="0"/>
        </w:numPr>
        <w:bidi w:val="0"/>
        <w:ind w:leftChars="0" w:firstLine="420" w:firstLineChars="200"/>
        <w:outlineLvl w:val="9"/>
        <w:rPr>
          <w:rFonts w:hint="eastAsia"/>
          <w:szCs w:val="22"/>
          <w:lang w:val="en-US" w:eastAsia="zh-CN"/>
        </w:rPr>
        <w:sectPr>
          <w:headerReference r:id="rId7" w:type="default"/>
          <w:footerReference r:id="rId8" w:type="default"/>
          <w:pgSz w:w="11906" w:h="16838"/>
          <w:pgMar w:top="567" w:right="1134" w:bottom="1134" w:left="1418" w:header="1418" w:footer="1134" w:gutter="0"/>
          <w:pgBorders>
            <w:top w:val="none" w:sz="0" w:space="0"/>
            <w:left w:val="none" w:sz="0" w:space="0"/>
            <w:bottom w:val="none" w:sz="0" w:space="0"/>
            <w:right w:val="none" w:sz="0" w:space="0"/>
          </w:pgBorders>
          <w:pgNumType w:fmt="decimal" w:start="1"/>
          <w:cols w:space="720" w:num="1"/>
          <w:formProt w:val="0"/>
          <w:docGrid w:type="lines" w:linePitch="312" w:charSpace="0"/>
        </w:sectPr>
      </w:pPr>
      <w:bookmarkStart w:id="70" w:name="_Toc24593"/>
      <w:bookmarkStart w:id="71" w:name="_Toc473"/>
      <w:bookmarkStart w:id="72" w:name="_Toc4707"/>
      <w:r>
        <w:rPr>
          <w:rFonts w:hint="eastAsia" w:ascii="宋体" w:hAnsi="宋体" w:eastAsia="宋体" w:cs="宋体"/>
          <w:color w:val="000000"/>
          <w:kern w:val="0"/>
          <w:sz w:val="21"/>
          <w:szCs w:val="21"/>
          <w:lang w:val="en-US" w:eastAsia="zh-CN" w:bidi="ar"/>
        </w:rPr>
        <w:t>安全与风险综合管理体系评价结果分为5个等级，即1星、2星、3星、4星、5星；每个等级均有相对应的体系建设成果特征，即领导作用、全员参与、风险管控、隐患查治、过程控制、持续改进、创新创造等“7维特征”，详见表5。</w:t>
      </w:r>
      <w:r>
        <w:rPr>
          <w:rFonts w:hint="eastAsia"/>
          <w:szCs w:val="22"/>
          <w:lang w:val="en-US" w:eastAsia="zh-CN"/>
        </w:rPr>
        <w:br w:type="page"/>
      </w:r>
      <w:bookmarkEnd w:id="70"/>
      <w:bookmarkEnd w:id="71"/>
      <w:bookmarkEnd w:id="72"/>
    </w:p>
    <w:p>
      <w:pPr>
        <w:pStyle w:val="21"/>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表5 等级特征表</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783"/>
        <w:gridCol w:w="2171"/>
        <w:gridCol w:w="2655"/>
        <w:gridCol w:w="2993"/>
        <w:gridCol w:w="2896"/>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gridSpan w:val="2"/>
            <w:vMerge w:val="restar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7维特征</w:t>
            </w:r>
          </w:p>
        </w:tc>
        <w:tc>
          <w:tcPr>
            <w:tcW w:w="13695" w:type="dxa"/>
            <w:gridSpan w:val="5"/>
            <w:vAlign w:val="top"/>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gridSpan w:val="2"/>
            <w:vMerge w:val="continue"/>
            <w:vAlign w:val="top"/>
          </w:tcPr>
          <w:p>
            <w:pPr>
              <w:pStyle w:val="21"/>
              <w:jc w:val="center"/>
              <w:rPr>
                <w:rFonts w:hint="eastAsia" w:ascii="黑体" w:hAnsi="黑体" w:eastAsia="黑体" w:cs="黑体"/>
                <w:b w:val="0"/>
                <w:bCs w:val="0"/>
                <w:szCs w:val="22"/>
                <w:lang w:val="en-US" w:eastAsia="zh-CN"/>
              </w:rPr>
            </w:pP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1星</w:t>
            </w: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2星</w:t>
            </w: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3星</w:t>
            </w: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4星</w:t>
            </w:r>
          </w:p>
        </w:tc>
        <w:tc>
          <w:tcPr>
            <w:tcW w:w="3206" w:type="dxa"/>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领导作用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了解及参与程度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对体系工作较少了解，冷淡应对</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部分了解和参与体系建设工作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全面了解和参与体系建设工作，能用双重预防机制的思路指导日常工作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积极参与体系建设工作，对体系的认识全面、清晰，用体系管理的思路指导日常工作</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高度参与体系工作，对体系的认识全面、准确，灵活运用体系管理的思路指导工作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jc w:val="center"/>
              <w:rPr>
                <w:rFonts w:hint="eastAsia"/>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资源投入及配置</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资源投入在较多方面，但不能满足体系建设工作需求</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资源投入满足大部分体系建设需求</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资源投入确保体系建设需求</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资源优化配置，利用信息化、智能化，确保体系建设需求</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资源集约、优化配置，高效利用信息化、智能化运转体系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全员参与</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员工和部门参与程度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安全、生产等部门的骨干员工参与体系工作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大部分员工参与，体系建设覆盖大多数部门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员工全面参与，体系建设在绝大多数部门积极开展</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员工高度参与，体系建设横向到边，纵向到底</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员工踊跃参与，体系建设工作全面、充分应用到各个业务部门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eastAsia"/>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员工意识与能力水平</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员工初步具有风险意识，部分员工与岗位不能匹配</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员工普遍具有风险意识，能力与岗位基本匹配</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员工风险意识较高，能力与岗位要求完全匹配</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员工风险意识高，能力完全满足处理岗位各种状况的要求</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员工风险意识突出，一专多能，安全知识和应急能力等超出岗位范围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风险管控</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完成部分因素辨识及风险评估工作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完成因素辨识及风险评估工作，风险评估结果得到部分应用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因素辨识及风险评估内容完整、规范，并应用于日常工作中</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因素辨识及风险评估内容完整、准确，风险评估结果得到充分应用</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因素辨识及风险评估具有很高的质量，风险评估结果得到全面、充分应用，具有超强的风险评估绩效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eastAsia"/>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风险控制及投入保障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完成部分风险控制措施的落实及投入保障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完成风险控制措施的落实并跟进其有效性，投入有保障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风险控制措施得到落实，中高风险得到有效控制，安全经费按期提取，风险投入有分析，成本效益有提升</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风险控制措施得到有效落实，安全经费支出规范、合理，风险投入有分析和评估，成本效益提升大</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风险控制措施在有效落实中达到可降级处置，全部风险均可控在控预控，具有超强的安全风险控制能力和效益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隐患查治</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隐患分级分类及排查</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完成部分隐患分级分类及排查工作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完成隐患分级分类及隐患排查策划、实施工作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隐患分级分类及隐患策划、实施工作全部完成，并对完成结果进行统计分析，深入挖掘衍生隐患角落</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充分运用隐患分级分类及排查工作，细化隐患排查的管理颗粒度，初步建立隐患排查模型并运用</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充分运用隐患排查模型，借助信息化、智能化等大数据手段，实现隐患排查功能的强大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隐患分级治理及报告</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完成部分隐患分级治理及报告</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完成隐患分级治理及验收评估、通报与报告工作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隐患分级治理及验收评估、通报与报告工作全部完成，并对治理结果进行分析，确保隐患治理的实效性，实现闭环管理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充分运用隐患分级治理及验收评估、通报与报告工作，细化隐患治理的管理颗粒度，初步建立隐患治理模型并运用</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充分运用隐患治理模型，与隐患排查实现联动，借助信息化、智能化等大数据手段，实现隐患治理功能的强大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过程控制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业务过程控制程度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与体系相关的业务过程大部分得到控制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与体系相关的业务过程均得到控制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与体系相关的业务过程均得到有效控制，未出现漏项或者严重失控现象</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业务过程得到全面有效控制，运转顺畅。</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业务过程得到全面有效控制，运转质量高，形成良好实践或示范标杆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both"/>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作业过程控制程度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与体系相关的作业过程大部分得到控制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与体系相关的作业过程均得到控制</w:t>
            </w:r>
          </w:p>
        </w:tc>
        <w:tc>
          <w:tcPr>
            <w:tcW w:w="0" w:type="auto"/>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与体系相关的作业过程均得到有效控制，未出现漏项或者严重失控现象</w:t>
            </w:r>
          </w:p>
        </w:tc>
        <w:tc>
          <w:tcPr>
            <w:tcW w:w="0" w:type="auto"/>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作业过程得到全面有效控制，运转顺畅。</w:t>
            </w:r>
          </w:p>
        </w:tc>
        <w:tc>
          <w:tcPr>
            <w:tcW w:w="3206"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作业过程得到全面有效控制，运转质量高，形成良好实践或示范标杆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持续改进</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问题发现与改进机制不够健全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问题发现与改进机制存在不足，基本建立问题发现与改进机制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 xml:space="preserve">问题发现与改进机制基本建立，问题发现与改进机制得到运转 </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问题发现与改进机制全面建立，运转顺畅</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问题发现与改进机制深度建立，运转质量高，能够形成良好实践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纠正措施与闭环管理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纠正措施只停留在纠正阶段，未形成有效措施，较多重发问题，未形成闭环管理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未采取有效的纠正措施，痛点与难点问题未得到有效解决，存在重发问题，未形成闭环管理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能够采取纠正措施，能够发现及基本解决痛点与难点，重发问题较少，基本形成闭环管理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能够采取有效的纠正措施，能够发现和有效解决痛点与难点，重发问题基本没有，形成闭环管理</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纠正措施及预防措施有效落实，能够发现及高效经济解决痛点与难点，无重发问题，充分利用信息化、智能化等大数据手段形成闭环管理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创新创造</w:t>
            </w:r>
          </w:p>
        </w:tc>
        <w:tc>
          <w:tcPr>
            <w:tcW w:w="0" w:type="auto"/>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循证决策与业务目标</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基于数据和信息的分析和评价，核心业务绩效与业务目标之间存在较大差距</w:t>
            </w:r>
          </w:p>
        </w:tc>
        <w:tc>
          <w:tcPr>
            <w:tcW w:w="0" w:type="auto"/>
            <w:vAlign w:val="center"/>
          </w:tcPr>
          <w:p>
            <w:pPr>
              <w:pStyle w:val="21"/>
              <w:ind w:left="0" w:leftChars="0" w:firstLine="0" w:firstLineChars="0"/>
              <w:jc w:val="both"/>
              <w:rPr>
                <w:rFonts w:hint="eastAsia"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基于数据和信息的分析和评价，核心业务绩效与业务目标之间存在一定的差距，初步建立创新创造机制</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基于数据和信息的分析和评价，核心业务绩效基本实现业务目标，创新创造机制基本得到运转</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基于数据和信息的分析和评价，全业务绩效实现业务目标，创新创造机制运转顺畅</w:t>
            </w:r>
          </w:p>
        </w:tc>
        <w:tc>
          <w:tcPr>
            <w:tcW w:w="3206" w:type="dxa"/>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基于数据和信息的分析和评价，全业务绩效超过业务目标，充分利用信息化、智能化等大数据手段等高效运转创新创造机制，超出预期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both"/>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关系管理与价值创造</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与用户及相关方初步建立合作关系</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与用户及相关方建立合作机制</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与用户及相关方建立合作伙伴关系与机制，寻求价值共创</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 xml:space="preserve">与用户及相关方建立良好的合作伙伴关系与机制，共同创造价值 </w:t>
            </w:r>
          </w:p>
        </w:tc>
        <w:tc>
          <w:tcPr>
            <w:tcW w:w="3206" w:type="dxa"/>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与用户及相关方建立合作共赢的生态系统，实现价值共生与智能创造</w:t>
            </w:r>
          </w:p>
        </w:tc>
      </w:tr>
    </w:tbl>
    <w:p>
      <w:pPr>
        <w:pStyle w:val="21"/>
        <w:ind w:left="0" w:leftChars="0" w:firstLine="0" w:firstLineChars="0"/>
        <w:jc w:val="center"/>
        <w:rPr>
          <w:rFonts w:hint="eastAsia"/>
          <w:lang w:val="en-US" w:eastAsia="zh-CN"/>
        </w:rPr>
      </w:pPr>
    </w:p>
    <w:p>
      <w:pPr>
        <w:pStyle w:val="21"/>
        <w:numPr>
          <w:ilvl w:val="0"/>
          <w:numId w:val="0"/>
        </w:numPr>
        <w:rPr>
          <w:rFonts w:hint="default"/>
          <w:szCs w:val="22"/>
          <w:lang w:val="en-US" w:eastAsia="zh-CN"/>
        </w:rPr>
        <w:sectPr>
          <w:pgSz w:w="16838" w:h="11906" w:orient="landscape"/>
          <w:pgMar w:top="1418" w:right="567" w:bottom="1134" w:left="1134" w:header="1418" w:footer="1134" w:gutter="0"/>
          <w:pgBorders>
            <w:top w:val="none" w:sz="0" w:space="0"/>
            <w:left w:val="none" w:sz="0" w:space="0"/>
            <w:bottom w:val="none" w:sz="0" w:space="0"/>
            <w:right w:val="none" w:sz="0" w:space="0"/>
          </w:pgBorders>
          <w:pgNumType w:fmt="decimal"/>
          <w:cols w:space="720" w:num="1"/>
          <w:formProt w:val="0"/>
          <w:docGrid w:type="lines" w:linePitch="312" w:charSpace="0"/>
        </w:sectPr>
      </w:pPr>
    </w:p>
    <w:p>
      <w:pPr>
        <w:pStyle w:val="51"/>
        <w:bidi w:val="0"/>
        <w:ind w:left="0" w:leftChars="0" w:firstLine="0" w:firstLineChars="0"/>
        <w:rPr>
          <w:rFonts w:hint="eastAsia"/>
          <w:highlight w:val="none"/>
          <w:lang w:val="en-US" w:eastAsia="zh-CN"/>
        </w:rPr>
      </w:pPr>
      <w:bookmarkStart w:id="73" w:name="_Toc26949"/>
      <w:bookmarkStart w:id="74" w:name="_Toc2132"/>
      <w:r>
        <w:rPr>
          <w:rFonts w:hint="eastAsia"/>
          <w:highlight w:val="none"/>
          <w:lang w:val="en-US" w:eastAsia="zh-CN"/>
        </w:rPr>
        <w:t>出具报告</w:t>
      </w:r>
      <w:bookmarkEnd w:id="73"/>
      <w:bookmarkEnd w:id="74"/>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szCs w:val="22"/>
          <w:lang w:val="en-US" w:eastAsia="zh-CN"/>
        </w:rPr>
        <w:t>评价组编制评价报告，提交经授权的机构备案并申请颁发等级认定评价证书。</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报告</w:t>
      </w:r>
      <w:r>
        <w:rPr>
          <w:rFonts w:hint="eastAsia" w:ascii="宋体" w:hAnsi="宋体" w:cs="宋体"/>
          <w:color w:val="000000"/>
          <w:kern w:val="0"/>
          <w:sz w:val="21"/>
          <w:szCs w:val="21"/>
          <w:lang w:val="en-US" w:eastAsia="zh-CN" w:bidi="ar"/>
        </w:rPr>
        <w:t>和等级认定评价证书</w:t>
      </w:r>
      <w:r>
        <w:rPr>
          <w:rFonts w:hint="eastAsia" w:ascii="宋体" w:hAnsi="宋体" w:eastAsia="宋体" w:cs="宋体"/>
          <w:color w:val="000000"/>
          <w:kern w:val="0"/>
          <w:sz w:val="21"/>
          <w:szCs w:val="21"/>
          <w:lang w:val="en-US" w:eastAsia="zh-CN" w:bidi="ar"/>
        </w:rPr>
        <w:t>应经适当的评审和批准</w:t>
      </w:r>
      <w:r>
        <w:rPr>
          <w:rFonts w:hint="eastAsia" w:ascii="宋体" w:hAnsi="宋体" w:cs="宋体"/>
          <w:color w:val="000000"/>
          <w:kern w:val="0"/>
          <w:sz w:val="21"/>
          <w:szCs w:val="21"/>
          <w:lang w:val="en-US" w:eastAsia="zh-CN" w:bidi="ar"/>
        </w:rPr>
        <w:t>后</w:t>
      </w:r>
      <w:r>
        <w:rPr>
          <w:rFonts w:hint="eastAsia" w:ascii="宋体" w:hAnsi="宋体" w:eastAsia="宋体" w:cs="宋体"/>
          <w:color w:val="000000"/>
          <w:kern w:val="0"/>
          <w:sz w:val="21"/>
          <w:szCs w:val="21"/>
          <w:lang w:val="en-US" w:eastAsia="zh-CN" w:bidi="ar"/>
        </w:rPr>
        <w:t>在商定的时间期限内提交</w:t>
      </w:r>
      <w:r>
        <w:rPr>
          <w:rFonts w:hint="eastAsia" w:ascii="宋体" w:hAnsi="宋体" w:cs="宋体"/>
          <w:color w:val="000000"/>
          <w:kern w:val="0"/>
          <w:sz w:val="21"/>
          <w:szCs w:val="21"/>
          <w:lang w:val="en-US" w:eastAsia="zh-CN" w:bidi="ar"/>
        </w:rPr>
        <w:t>并发放到企业，</w:t>
      </w:r>
      <w:r>
        <w:rPr>
          <w:rFonts w:hint="eastAsia" w:ascii="宋体" w:hAnsi="宋体" w:eastAsia="宋体" w:cs="宋体"/>
          <w:color w:val="000000"/>
          <w:kern w:val="0"/>
          <w:sz w:val="21"/>
          <w:szCs w:val="21"/>
          <w:lang w:val="en-US" w:eastAsia="zh-CN" w:bidi="ar"/>
        </w:rPr>
        <w:t>如果延迟，应向</w:t>
      </w:r>
      <w:r>
        <w:rPr>
          <w:rFonts w:hint="eastAsia" w:ascii="宋体" w:hAnsi="宋体" w:cs="宋体"/>
          <w:color w:val="000000"/>
          <w:kern w:val="0"/>
          <w:sz w:val="21"/>
          <w:szCs w:val="21"/>
          <w:lang w:val="en-US" w:eastAsia="zh-CN" w:bidi="ar"/>
        </w:rPr>
        <w:t>委托方</w:t>
      </w:r>
      <w:r>
        <w:rPr>
          <w:rFonts w:hint="eastAsia" w:ascii="宋体" w:hAnsi="宋体" w:eastAsia="宋体" w:cs="宋体"/>
          <w:color w:val="000000"/>
          <w:kern w:val="0"/>
          <w:sz w:val="21"/>
          <w:szCs w:val="21"/>
          <w:lang w:val="en-US" w:eastAsia="zh-CN" w:bidi="ar"/>
        </w:rPr>
        <w:t>通告原因。</w:t>
      </w:r>
    </w:p>
    <w:p>
      <w:pPr>
        <w:pStyle w:val="94"/>
        <w:numPr>
          <w:ilvl w:val="0"/>
          <w:numId w:val="0"/>
        </w:numPr>
        <w:ind w:leftChars="0"/>
        <w:outlineLvl w:val="9"/>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94"/>
        <w:numPr>
          <w:ilvl w:val="0"/>
          <w:numId w:val="0"/>
        </w:numPr>
        <w:ind w:leftChars="0"/>
        <w:rPr>
          <w:rFonts w:hint="eastAsia"/>
          <w:szCs w:val="22"/>
          <w:lang w:val="en-US" w:eastAsia="zh-CN"/>
        </w:rPr>
      </w:pPr>
      <w:bookmarkStart w:id="75" w:name="_Toc4130"/>
      <w:bookmarkStart w:id="76" w:name="_Toc19174"/>
      <w:r>
        <w:rPr>
          <w:rFonts w:hint="eastAsia"/>
          <w:szCs w:val="22"/>
          <w:lang w:val="en-US" w:eastAsia="zh-CN"/>
        </w:rPr>
        <w:t>附录A 参考文献</w:t>
      </w:r>
      <w:bookmarkEnd w:id="75"/>
      <w:bookmarkEnd w:id="76"/>
    </w:p>
    <w:p>
      <w:pPr>
        <w:pStyle w:val="21"/>
        <w:numPr>
          <w:ilvl w:val="0"/>
          <w:numId w:val="29"/>
        </w:numPr>
        <w:jc w:val="left"/>
        <w:rPr>
          <w:rFonts w:hint="default"/>
          <w:lang w:val="en-US" w:eastAsia="zh-CN"/>
        </w:rPr>
      </w:pPr>
      <w:r>
        <w:rPr>
          <w:rFonts w:hint="eastAsia"/>
          <w:lang w:val="en-US" w:eastAsia="zh-CN"/>
        </w:rPr>
        <w:t>ISO 19011-2018 管理体系审核指南</w:t>
      </w:r>
    </w:p>
    <w:p>
      <w:pPr>
        <w:pStyle w:val="21"/>
        <w:numPr>
          <w:ilvl w:val="0"/>
          <w:numId w:val="29"/>
        </w:numPr>
        <w:jc w:val="left"/>
        <w:rPr>
          <w:rFonts w:hint="eastAsia"/>
          <w:lang w:val="en-US" w:eastAsia="zh-CN"/>
        </w:rPr>
      </w:pPr>
      <w:r>
        <w:rPr>
          <w:rFonts w:hint="eastAsia"/>
          <w:lang w:val="en-US" w:eastAsia="zh-CN"/>
        </w:rPr>
        <w:t>GB/T 19000-2016 质量管理体系 基础和术语</w:t>
      </w:r>
    </w:p>
    <w:p>
      <w:pPr>
        <w:pStyle w:val="21"/>
        <w:numPr>
          <w:ilvl w:val="0"/>
          <w:numId w:val="29"/>
        </w:numPr>
        <w:jc w:val="left"/>
        <w:rPr>
          <w:rFonts w:hint="default"/>
          <w:lang w:val="en-US" w:eastAsia="zh-CN"/>
        </w:rPr>
      </w:pPr>
      <w:r>
        <w:rPr>
          <w:rFonts w:hint="eastAsia"/>
          <w:lang w:val="en-US" w:eastAsia="zh-CN"/>
        </w:rPr>
        <w:t>GB/T 19000-2016 质量管理体系 要求</w:t>
      </w:r>
    </w:p>
    <w:p>
      <w:pPr>
        <w:pStyle w:val="21"/>
        <w:numPr>
          <w:ilvl w:val="0"/>
          <w:numId w:val="29"/>
        </w:numPr>
        <w:jc w:val="left"/>
        <w:rPr>
          <w:rFonts w:hint="default"/>
          <w:lang w:val="en-US" w:eastAsia="zh-CN"/>
        </w:rPr>
      </w:pPr>
      <w:r>
        <w:rPr>
          <w:rFonts w:hint="eastAsia"/>
          <w:lang w:val="en-US" w:eastAsia="zh-CN"/>
        </w:rPr>
        <w:t>GB/T 14001-2016 环境管理体系 要求及使用指南</w:t>
      </w:r>
    </w:p>
    <w:p>
      <w:pPr>
        <w:pStyle w:val="21"/>
        <w:numPr>
          <w:ilvl w:val="0"/>
          <w:numId w:val="29"/>
        </w:numPr>
        <w:jc w:val="left"/>
        <w:rPr>
          <w:rFonts w:hint="eastAsia"/>
          <w:lang w:val="en-US" w:eastAsia="zh-CN"/>
        </w:rPr>
      </w:pPr>
      <w:r>
        <w:rPr>
          <w:rFonts w:hint="eastAsia"/>
          <w:lang w:val="en-US" w:eastAsia="zh-CN"/>
        </w:rPr>
        <w:t>GB/T 45001-2020 职业健康安全管理体系 要求及使用指南</w:t>
      </w:r>
    </w:p>
    <w:p>
      <w:pPr>
        <w:pStyle w:val="21"/>
        <w:numPr>
          <w:ilvl w:val="0"/>
          <w:numId w:val="29"/>
        </w:numPr>
        <w:jc w:val="left"/>
        <w:rPr>
          <w:rFonts w:hint="eastAsia"/>
          <w:lang w:val="en-US" w:eastAsia="zh-CN"/>
        </w:rPr>
      </w:pPr>
      <w:r>
        <w:rPr>
          <w:rFonts w:hint="eastAsia" w:ascii="宋体" w:hAnsi="宋体" w:eastAsia="宋体" w:cs="宋体"/>
          <w:color w:val="000000"/>
          <w:kern w:val="0"/>
          <w:sz w:val="21"/>
          <w:szCs w:val="21"/>
          <w:lang w:val="en-US" w:eastAsia="zh-CN" w:bidi="ar"/>
        </w:rPr>
        <w:t>GB/T 23694</w:t>
      </w:r>
      <w:r>
        <w:rPr>
          <w:rFonts w:hint="eastAsia"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2013 风险管理 术语</w:t>
      </w:r>
    </w:p>
    <w:p>
      <w:pPr>
        <w:pStyle w:val="21"/>
        <w:numPr>
          <w:ilvl w:val="0"/>
          <w:numId w:val="29"/>
        </w:numPr>
        <w:jc w:val="left"/>
        <w:rPr>
          <w:rFonts w:hint="eastAsia"/>
          <w:lang w:val="en-US" w:eastAsia="zh-CN"/>
        </w:rPr>
      </w:pPr>
      <w:r>
        <w:rPr>
          <w:rFonts w:hint="eastAsia" w:ascii="宋体" w:hAnsi="宋体" w:eastAsia="宋体" w:cs="宋体"/>
          <w:color w:val="000000"/>
          <w:kern w:val="0"/>
          <w:sz w:val="21"/>
          <w:szCs w:val="21"/>
          <w:lang w:val="en-US" w:eastAsia="zh-CN" w:bidi="ar"/>
        </w:rPr>
        <w:t>GB/T 270</w:t>
      </w:r>
      <w:r>
        <w:rPr>
          <w:rFonts w:hint="eastAsia" w:hAnsi="宋体" w:cs="宋体"/>
          <w:color w:val="000000"/>
          <w:kern w:val="0"/>
          <w:sz w:val="21"/>
          <w:szCs w:val="21"/>
          <w:lang w:val="en-US" w:eastAsia="zh-CN" w:bidi="ar"/>
        </w:rPr>
        <w:t>00-2006</w:t>
      </w:r>
      <w:r>
        <w:rPr>
          <w:rFonts w:hint="eastAsia" w:ascii="宋体" w:hAnsi="宋体" w:eastAsia="宋体" w:cs="宋体"/>
          <w:color w:val="000000"/>
          <w:kern w:val="0"/>
          <w:sz w:val="21"/>
          <w:szCs w:val="21"/>
          <w:lang w:val="en-US" w:eastAsia="zh-CN" w:bidi="ar"/>
        </w:rPr>
        <w:t xml:space="preserve"> 合格评定 </w:t>
      </w:r>
      <w:r>
        <w:rPr>
          <w:rFonts w:hint="eastAsia" w:hAnsi="宋体" w:cs="宋体"/>
          <w:color w:val="000000"/>
          <w:kern w:val="0"/>
          <w:sz w:val="21"/>
          <w:szCs w:val="21"/>
          <w:lang w:val="en-US" w:eastAsia="zh-CN" w:bidi="ar"/>
        </w:rPr>
        <w:t>词汇和通用原则</w:t>
      </w:r>
    </w:p>
    <w:p>
      <w:pPr>
        <w:pStyle w:val="21"/>
        <w:numPr>
          <w:ilvl w:val="0"/>
          <w:numId w:val="29"/>
        </w:numPr>
        <w:jc w:val="left"/>
        <w:rPr>
          <w:rFonts w:hint="eastAsia"/>
          <w:lang w:val="en-US" w:eastAsia="zh-CN"/>
        </w:rPr>
      </w:pPr>
      <w:r>
        <w:rPr>
          <w:rFonts w:hint="eastAsia" w:ascii="宋体" w:hAnsi="宋体" w:eastAsia="宋体" w:cs="宋体"/>
          <w:color w:val="000000"/>
          <w:kern w:val="0"/>
          <w:sz w:val="21"/>
          <w:szCs w:val="21"/>
          <w:lang w:val="en-US" w:eastAsia="zh-CN" w:bidi="ar"/>
        </w:rPr>
        <w:t>GB/T 27021.1</w:t>
      </w:r>
      <w:r>
        <w:rPr>
          <w:rFonts w:hint="eastAsia" w:hAnsi="宋体" w:cs="宋体"/>
          <w:color w:val="000000"/>
          <w:kern w:val="0"/>
          <w:sz w:val="21"/>
          <w:szCs w:val="21"/>
          <w:lang w:val="en-US" w:eastAsia="zh-CN" w:bidi="ar"/>
        </w:rPr>
        <w:t>-2017</w:t>
      </w:r>
      <w:r>
        <w:rPr>
          <w:rFonts w:hint="eastAsia" w:ascii="宋体" w:hAnsi="宋体" w:eastAsia="宋体" w:cs="宋体"/>
          <w:color w:val="000000"/>
          <w:kern w:val="0"/>
          <w:sz w:val="21"/>
          <w:szCs w:val="21"/>
          <w:lang w:val="en-US" w:eastAsia="zh-CN" w:bidi="ar"/>
        </w:rPr>
        <w:t xml:space="preserve"> 合格评定 管理体系审核认证机构要求 第1部分：要求</w:t>
      </w:r>
    </w:p>
    <w:p>
      <w:pPr>
        <w:pStyle w:val="21"/>
        <w:numPr>
          <w:ilvl w:val="0"/>
          <w:numId w:val="29"/>
        </w:numPr>
        <w:jc w:val="left"/>
        <w:rPr>
          <w:rFonts w:hint="eastAsia"/>
          <w:lang w:val="en-US" w:eastAsia="zh-CN"/>
        </w:rPr>
      </w:pPr>
      <w:r>
        <w:rPr>
          <w:rFonts w:hint="eastAsia"/>
          <w:lang w:val="en-US" w:eastAsia="zh-CN"/>
        </w:rPr>
        <w:t>安全生产风险管理体系审核指南（试用）（2017版）（中国南方电网有限责任公司 编著）</w:t>
      </w:r>
    </w:p>
    <w:p>
      <w:pPr>
        <w:pStyle w:val="21"/>
        <w:jc w:val="left"/>
        <w:rPr>
          <w:rFonts w:hint="default"/>
          <w:lang w:val="en-US" w:eastAsia="zh-CN"/>
        </w:rPr>
      </w:pPr>
    </w:p>
    <w:p>
      <w:pPr>
        <w:pStyle w:val="21"/>
        <w:jc w:val="left"/>
        <w:rPr>
          <w:rFonts w:hint="default"/>
          <w:lang w:val="en-US" w:eastAsia="zh-CN"/>
        </w:rPr>
      </w:pPr>
    </w:p>
    <w:p>
      <w:pPr>
        <w:pStyle w:val="21"/>
        <w:jc w:val="left"/>
        <w:rPr>
          <w:rFonts w:hint="default"/>
          <w:lang w:val="en-US" w:eastAsia="zh-CN"/>
        </w:rPr>
      </w:pPr>
    </w:p>
    <w:sectPr>
      <w:footerReference r:id="rId9" w:type="default"/>
      <w:pgSz w:w="11906" w:h="16838"/>
      <w:pgMar w:top="567" w:right="1134" w:bottom="1134" w:left="1418"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ËÎÌå">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Q/</w:t>
    </w:r>
    <w:r>
      <w:rPr>
        <w:rFonts w:hint="eastAsia"/>
      </w:rPr>
      <w:t>GDW HNGF</w:t>
    </w:r>
    <w:r>
      <w:t xml:space="preserve"> 2XXX—</w:t>
    </w:r>
    <w:r>
      <w:rPr>
        <w:rFonts w:hint="eastAsia"/>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002-2021</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002-2021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E9D9DE"/>
    <w:multiLevelType w:val="singleLevel"/>
    <w:tmpl w:val="89E9D9DE"/>
    <w:lvl w:ilvl="0" w:tentative="0">
      <w:start w:val="1"/>
      <w:numFmt w:val="lowerLetter"/>
      <w:suff w:val="nothing"/>
      <w:lvlText w:val="%1）"/>
      <w:lvlJc w:val="left"/>
    </w:lvl>
  </w:abstractNum>
  <w:abstractNum w:abstractNumId="1">
    <w:nsid w:val="B6D9775E"/>
    <w:multiLevelType w:val="multilevel"/>
    <w:tmpl w:val="B6D9775E"/>
    <w:lvl w:ilvl="0" w:tentative="0">
      <w:start w:val="1"/>
      <w:numFmt w:val="lowerLetter"/>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E1542AD5"/>
    <w:multiLevelType w:val="singleLevel"/>
    <w:tmpl w:val="E1542AD5"/>
    <w:lvl w:ilvl="0" w:tentative="0">
      <w:start w:val="1"/>
      <w:numFmt w:val="lowerLetter"/>
      <w:suff w:val="nothing"/>
      <w:lvlText w:val="%1）"/>
      <w:lvlJc w:val="left"/>
    </w:lvl>
  </w:abstractNum>
  <w:abstractNum w:abstractNumId="3">
    <w:nsid w:val="E3AAF693"/>
    <w:multiLevelType w:val="singleLevel"/>
    <w:tmpl w:val="E3AAF693"/>
    <w:lvl w:ilvl="0" w:tentative="0">
      <w:start w:val="1"/>
      <w:numFmt w:val="lowerLetter"/>
      <w:suff w:val="nothing"/>
      <w:lvlText w:val="%1）"/>
      <w:lvlJc w:val="left"/>
    </w:lvl>
  </w:abstractNum>
  <w:abstractNum w:abstractNumId="4">
    <w:nsid w:val="F621F676"/>
    <w:multiLevelType w:val="singleLevel"/>
    <w:tmpl w:val="F621F676"/>
    <w:lvl w:ilvl="0" w:tentative="0">
      <w:start w:val="1"/>
      <w:numFmt w:val="lowerLetter"/>
      <w:suff w:val="nothing"/>
      <w:lvlText w:val="%1）"/>
      <w:lvlJc w:val="left"/>
    </w:lvl>
  </w:abstractNum>
  <w:abstractNum w:abstractNumId="5">
    <w:nsid w:val="F73C728A"/>
    <w:multiLevelType w:val="singleLevel"/>
    <w:tmpl w:val="F73C728A"/>
    <w:lvl w:ilvl="0" w:tentative="0">
      <w:start w:val="1"/>
      <w:numFmt w:val="lowerLetter"/>
      <w:suff w:val="nothing"/>
      <w:lvlText w:val="%1）"/>
      <w:lvlJc w:val="left"/>
    </w:lvl>
  </w:abstractNum>
  <w:abstractNum w:abstractNumId="6">
    <w:nsid w:val="079102AD"/>
    <w:multiLevelType w:val="multilevel"/>
    <w:tmpl w:val="079102AD"/>
    <w:lvl w:ilvl="0" w:tentative="0">
      <w:start w:val="1"/>
      <w:numFmt w:val="decimal"/>
      <w:pStyle w:val="8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AE367E9"/>
    <w:multiLevelType w:val="multilevel"/>
    <w:tmpl w:val="0AE367E9"/>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0">
    <w:nsid w:val="1DBF583A"/>
    <w:multiLevelType w:val="multilevel"/>
    <w:tmpl w:val="1DBF583A"/>
    <w:lvl w:ilvl="0" w:tentative="0">
      <w:start w:val="1"/>
      <w:numFmt w:val="decimal"/>
      <w:pStyle w:val="8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tentative="0">
      <w:start w:val="1"/>
      <w:numFmt w:val="decimal"/>
      <w:pStyle w:val="9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13C14B3"/>
    <w:multiLevelType w:val="singleLevel"/>
    <w:tmpl w:val="213C14B3"/>
    <w:lvl w:ilvl="0" w:tentative="0">
      <w:start w:val="1"/>
      <w:numFmt w:val="lowerLetter"/>
      <w:suff w:val="nothing"/>
      <w:lvlText w:val="%1）"/>
      <w:lvlJc w:val="left"/>
    </w:lvl>
  </w:abstractNum>
  <w:abstractNum w:abstractNumId="13">
    <w:nsid w:val="2A8F7113"/>
    <w:multiLevelType w:val="multilevel"/>
    <w:tmpl w:val="2A8F7113"/>
    <w:lvl w:ilvl="0" w:tentative="0">
      <w:start w:val="1"/>
      <w:numFmt w:val="upperLetter"/>
      <w:pStyle w:val="61"/>
      <w:suff w:val="space"/>
      <w:lvlText w:val="%1"/>
      <w:lvlJc w:val="left"/>
      <w:pPr>
        <w:ind w:left="623" w:hanging="425"/>
      </w:pPr>
      <w:rPr>
        <w:rFonts w:hint="eastAsia"/>
      </w:rPr>
    </w:lvl>
    <w:lvl w:ilvl="1" w:tentative="0">
      <w:start w:val="1"/>
      <w:numFmt w:val="decimal"/>
      <w:pStyle w:val="11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103"/>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9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813425B"/>
    <w:multiLevelType w:val="singleLevel"/>
    <w:tmpl w:val="3813425B"/>
    <w:lvl w:ilvl="0" w:tentative="0">
      <w:start w:val="1"/>
      <w:numFmt w:val="lowerLetter"/>
      <w:suff w:val="nothing"/>
      <w:lvlText w:val="%1）"/>
      <w:lvlJc w:val="left"/>
    </w:lvl>
  </w:abstractNum>
  <w:abstractNum w:abstractNumId="16">
    <w:nsid w:val="3963D233"/>
    <w:multiLevelType w:val="singleLevel"/>
    <w:tmpl w:val="3963D233"/>
    <w:lvl w:ilvl="0" w:tentative="0">
      <w:start w:val="1"/>
      <w:numFmt w:val="decimal"/>
      <w:suff w:val="nothing"/>
      <w:lvlText w:val="%1、"/>
      <w:lvlJc w:val="left"/>
    </w:lvl>
  </w:abstractNum>
  <w:abstractNum w:abstractNumId="17">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43A57567"/>
    <w:multiLevelType w:val="singleLevel"/>
    <w:tmpl w:val="43A57567"/>
    <w:lvl w:ilvl="0" w:tentative="0">
      <w:start w:val="1"/>
      <w:numFmt w:val="lowerLetter"/>
      <w:suff w:val="nothing"/>
      <w:lvlText w:val="%1）"/>
      <w:lvlJc w:val="left"/>
    </w:lvl>
  </w:abstractNum>
  <w:abstractNum w:abstractNumId="19">
    <w:nsid w:val="44C50F90"/>
    <w:multiLevelType w:val="multilevel"/>
    <w:tmpl w:val="44C50F90"/>
    <w:lvl w:ilvl="0" w:tentative="0">
      <w:start w:val="1"/>
      <w:numFmt w:val="lowerLetter"/>
      <w:pStyle w:val="7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6"/>
      <w:lvlText w:val="%2)"/>
      <w:lvlJc w:val="left"/>
      <w:pPr>
        <w:tabs>
          <w:tab w:val="left" w:pos="1260"/>
        </w:tabs>
        <w:ind w:left="1259" w:hanging="419"/>
      </w:pPr>
      <w:rPr>
        <w:rFonts w:hint="eastAsia"/>
      </w:rPr>
    </w:lvl>
    <w:lvl w:ilvl="2" w:tentative="0">
      <w:start w:val="1"/>
      <w:numFmt w:val="decimal"/>
      <w:pStyle w:val="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9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1F2575"/>
    <w:multiLevelType w:val="singleLevel"/>
    <w:tmpl w:val="551F2575"/>
    <w:lvl w:ilvl="0" w:tentative="0">
      <w:start w:val="1"/>
      <w:numFmt w:val="decimal"/>
      <w:suff w:val="space"/>
      <w:lvlText w:val="[%1]"/>
      <w:lvlJc w:val="left"/>
    </w:lvl>
  </w:abstractNum>
  <w:abstractNum w:abstractNumId="22">
    <w:nsid w:val="557C2AF5"/>
    <w:multiLevelType w:val="multilevel"/>
    <w:tmpl w:val="557C2AF5"/>
    <w:lvl w:ilvl="0" w:tentative="0">
      <w:start w:val="1"/>
      <w:numFmt w:val="decimal"/>
      <w:pStyle w:val="12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0B55DC2"/>
    <w:multiLevelType w:val="multilevel"/>
    <w:tmpl w:val="60B55DC2"/>
    <w:lvl w:ilvl="0" w:tentative="0">
      <w:start w:val="1"/>
      <w:numFmt w:val="upperLetter"/>
      <w:pStyle w:val="62"/>
      <w:lvlText w:val="%1"/>
      <w:lvlJc w:val="left"/>
      <w:pPr>
        <w:tabs>
          <w:tab w:val="left" w:pos="0"/>
        </w:tabs>
        <w:ind w:left="0" w:hanging="425"/>
      </w:pPr>
      <w:rPr>
        <w:rFonts w:hint="eastAsia"/>
      </w:rPr>
    </w:lvl>
    <w:lvl w:ilvl="1" w:tentative="0">
      <w:start w:val="1"/>
      <w:numFmt w:val="decimal"/>
      <w:pStyle w:val="11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43E129C"/>
    <w:multiLevelType w:val="singleLevel"/>
    <w:tmpl w:val="643E129C"/>
    <w:lvl w:ilvl="0" w:tentative="0">
      <w:start w:val="1"/>
      <w:numFmt w:val="lowerLetter"/>
      <w:suff w:val="nothing"/>
      <w:lvlText w:val="%1）"/>
      <w:lvlJc w:val="left"/>
    </w:lvl>
  </w:abstractNum>
  <w:abstractNum w:abstractNumId="25">
    <w:nsid w:val="646260FA"/>
    <w:multiLevelType w:val="multilevel"/>
    <w:tmpl w:val="646260FA"/>
    <w:lvl w:ilvl="0" w:tentative="0">
      <w:start w:val="1"/>
      <w:numFmt w:val="decimal"/>
      <w:pStyle w:val="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7D3FBC"/>
    <w:multiLevelType w:val="multilevel"/>
    <w:tmpl w:val="657D3FBC"/>
    <w:lvl w:ilvl="0" w:tentative="0">
      <w:start w:val="1"/>
      <w:numFmt w:val="upperLetter"/>
      <w:pStyle w:val="4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2"/>
      <w:suff w:val="nothing"/>
      <w:lvlText w:val="%1.%2.%3.%4.%5.%6　"/>
      <w:lvlJc w:val="left"/>
      <w:pPr>
        <w:ind w:left="0" w:firstLine="0"/>
      </w:pPr>
      <w:rPr>
        <w:rFonts w:hint="eastAsia" w:ascii="黑体" w:hAnsi="Times New Roman" w:eastAsia="黑体"/>
        <w:b w:val="0"/>
        <w:i w:val="0"/>
        <w:sz w:val="21"/>
      </w:rPr>
    </w:lvl>
    <w:lvl w:ilvl="6" w:tentative="0">
      <w:start w:val="1"/>
      <w:numFmt w:val="decimal"/>
      <w:pStyle w:val="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D6C07CD"/>
    <w:multiLevelType w:val="multilevel"/>
    <w:tmpl w:val="6D6C07CD"/>
    <w:lvl w:ilvl="0" w:tentative="0">
      <w:start w:val="1"/>
      <w:numFmt w:val="lowerLetter"/>
      <w:pStyle w:val="90"/>
      <w:lvlText w:val="%1)"/>
      <w:lvlJc w:val="left"/>
      <w:pPr>
        <w:tabs>
          <w:tab w:val="left" w:pos="839"/>
        </w:tabs>
        <w:ind w:left="839" w:hanging="419"/>
      </w:pPr>
      <w:rPr>
        <w:rFonts w:hint="eastAsia" w:ascii="宋体" w:eastAsia="宋体"/>
        <w:b w:val="0"/>
        <w:i w:val="0"/>
        <w:sz w:val="21"/>
      </w:rPr>
    </w:lvl>
    <w:lvl w:ilvl="1" w:tentative="0">
      <w:start w:val="1"/>
      <w:numFmt w:val="decimal"/>
      <w:pStyle w:val="6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8">
    <w:nsid w:val="6DBF04F4"/>
    <w:multiLevelType w:val="multilevel"/>
    <w:tmpl w:val="6DBF04F4"/>
    <w:lvl w:ilvl="0" w:tentative="0">
      <w:start w:val="1"/>
      <w:numFmt w:val="none"/>
      <w:pStyle w:val="4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7"/>
  </w:num>
  <w:num w:numId="2">
    <w:abstractNumId w:val="26"/>
  </w:num>
  <w:num w:numId="3">
    <w:abstractNumId w:val="28"/>
  </w:num>
  <w:num w:numId="4">
    <w:abstractNumId w:val="19"/>
  </w:num>
  <w:num w:numId="5">
    <w:abstractNumId w:val="11"/>
  </w:num>
  <w:num w:numId="6">
    <w:abstractNumId w:val="14"/>
  </w:num>
  <w:num w:numId="7">
    <w:abstractNumId w:val="25"/>
  </w:num>
  <w:num w:numId="8">
    <w:abstractNumId w:val="27"/>
  </w:num>
  <w:num w:numId="9">
    <w:abstractNumId w:val="13"/>
  </w:num>
  <w:num w:numId="10">
    <w:abstractNumId w:val="23"/>
  </w:num>
  <w:num w:numId="11">
    <w:abstractNumId w:val="10"/>
  </w:num>
  <w:num w:numId="12">
    <w:abstractNumId w:val="6"/>
  </w:num>
  <w:num w:numId="13">
    <w:abstractNumId w:val="8"/>
  </w:num>
  <w:num w:numId="14">
    <w:abstractNumId w:val="20"/>
  </w:num>
  <w:num w:numId="15">
    <w:abstractNumId w:val="7"/>
  </w:num>
  <w:num w:numId="16">
    <w:abstractNumId w:val="9"/>
  </w:num>
  <w:num w:numId="17">
    <w:abstractNumId w:val="22"/>
  </w:num>
  <w:num w:numId="18">
    <w:abstractNumId w:val="15"/>
  </w:num>
  <w:num w:numId="19">
    <w:abstractNumId w:val="3"/>
  </w:num>
  <w:num w:numId="20">
    <w:abstractNumId w:val="4"/>
  </w:num>
  <w:num w:numId="21">
    <w:abstractNumId w:val="2"/>
  </w:num>
  <w:num w:numId="22">
    <w:abstractNumId w:val="18"/>
  </w:num>
  <w:num w:numId="23">
    <w:abstractNumId w:val="24"/>
  </w:num>
  <w:num w:numId="24">
    <w:abstractNumId w:val="12"/>
  </w:num>
  <w:num w:numId="25">
    <w:abstractNumId w:val="5"/>
  </w:num>
  <w:num w:numId="26">
    <w:abstractNumId w:val="1"/>
  </w:num>
  <w:num w:numId="27">
    <w:abstractNumId w:val="16"/>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31F22"/>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D3947"/>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62812"/>
    <w:rsid w:val="00471E91"/>
    <w:rsid w:val="00474675"/>
    <w:rsid w:val="0047470C"/>
    <w:rsid w:val="00493291"/>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18E6"/>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5CAF"/>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 w:val="01075C06"/>
    <w:rsid w:val="01124B68"/>
    <w:rsid w:val="012540D0"/>
    <w:rsid w:val="012A40E0"/>
    <w:rsid w:val="0158106E"/>
    <w:rsid w:val="01A727C3"/>
    <w:rsid w:val="01C84416"/>
    <w:rsid w:val="01CC0F23"/>
    <w:rsid w:val="01E17049"/>
    <w:rsid w:val="02260CFC"/>
    <w:rsid w:val="02300818"/>
    <w:rsid w:val="02481E45"/>
    <w:rsid w:val="024F1F02"/>
    <w:rsid w:val="026637D7"/>
    <w:rsid w:val="028E0144"/>
    <w:rsid w:val="02BD0A06"/>
    <w:rsid w:val="02C92D85"/>
    <w:rsid w:val="02CC1F22"/>
    <w:rsid w:val="02D44C70"/>
    <w:rsid w:val="02DF27EE"/>
    <w:rsid w:val="02E2696F"/>
    <w:rsid w:val="03180DAD"/>
    <w:rsid w:val="0330302F"/>
    <w:rsid w:val="03527440"/>
    <w:rsid w:val="039712A1"/>
    <w:rsid w:val="03994F11"/>
    <w:rsid w:val="039A14F4"/>
    <w:rsid w:val="03AF3694"/>
    <w:rsid w:val="03B2731B"/>
    <w:rsid w:val="03CF0EC1"/>
    <w:rsid w:val="03D05704"/>
    <w:rsid w:val="03F072D6"/>
    <w:rsid w:val="03F9423D"/>
    <w:rsid w:val="04211C9E"/>
    <w:rsid w:val="043F7065"/>
    <w:rsid w:val="0455694E"/>
    <w:rsid w:val="04587FFC"/>
    <w:rsid w:val="046D3DE3"/>
    <w:rsid w:val="04932546"/>
    <w:rsid w:val="04A0234C"/>
    <w:rsid w:val="04AC58C3"/>
    <w:rsid w:val="04CB7023"/>
    <w:rsid w:val="04D408A8"/>
    <w:rsid w:val="04D50444"/>
    <w:rsid w:val="04EF57D0"/>
    <w:rsid w:val="05193093"/>
    <w:rsid w:val="0549505D"/>
    <w:rsid w:val="0558566E"/>
    <w:rsid w:val="055C3A8F"/>
    <w:rsid w:val="055D609F"/>
    <w:rsid w:val="05705086"/>
    <w:rsid w:val="057626F8"/>
    <w:rsid w:val="058A11A9"/>
    <w:rsid w:val="05B955F4"/>
    <w:rsid w:val="05CD6A91"/>
    <w:rsid w:val="05E45C2A"/>
    <w:rsid w:val="06357BD4"/>
    <w:rsid w:val="06492A44"/>
    <w:rsid w:val="064D119D"/>
    <w:rsid w:val="06533DE5"/>
    <w:rsid w:val="06584679"/>
    <w:rsid w:val="06632718"/>
    <w:rsid w:val="067C0116"/>
    <w:rsid w:val="068B7572"/>
    <w:rsid w:val="068C3C3F"/>
    <w:rsid w:val="069070F5"/>
    <w:rsid w:val="06C9184A"/>
    <w:rsid w:val="06F37072"/>
    <w:rsid w:val="074909DA"/>
    <w:rsid w:val="075B5561"/>
    <w:rsid w:val="078030E2"/>
    <w:rsid w:val="07822DB8"/>
    <w:rsid w:val="078A74A5"/>
    <w:rsid w:val="078B599A"/>
    <w:rsid w:val="07923BDD"/>
    <w:rsid w:val="07950914"/>
    <w:rsid w:val="07B43DE6"/>
    <w:rsid w:val="07BF6A1D"/>
    <w:rsid w:val="08527D81"/>
    <w:rsid w:val="085C2D8B"/>
    <w:rsid w:val="086E480E"/>
    <w:rsid w:val="088D163F"/>
    <w:rsid w:val="08B84D38"/>
    <w:rsid w:val="08C26432"/>
    <w:rsid w:val="08C95E37"/>
    <w:rsid w:val="09003E71"/>
    <w:rsid w:val="092F548B"/>
    <w:rsid w:val="093F4EA4"/>
    <w:rsid w:val="094654DF"/>
    <w:rsid w:val="09624326"/>
    <w:rsid w:val="098C042F"/>
    <w:rsid w:val="099C20C8"/>
    <w:rsid w:val="09BE7301"/>
    <w:rsid w:val="09D23E2C"/>
    <w:rsid w:val="0A6C6624"/>
    <w:rsid w:val="0A817022"/>
    <w:rsid w:val="0A9E6A35"/>
    <w:rsid w:val="0ABE4827"/>
    <w:rsid w:val="0ACD5BC8"/>
    <w:rsid w:val="0B010482"/>
    <w:rsid w:val="0B225FF3"/>
    <w:rsid w:val="0B2A05CB"/>
    <w:rsid w:val="0B311C23"/>
    <w:rsid w:val="0B3F0D82"/>
    <w:rsid w:val="0B456BD2"/>
    <w:rsid w:val="0B6A7A52"/>
    <w:rsid w:val="0B8054B4"/>
    <w:rsid w:val="0B9D3AE6"/>
    <w:rsid w:val="0BC00648"/>
    <w:rsid w:val="0BD004AB"/>
    <w:rsid w:val="0BD158E9"/>
    <w:rsid w:val="0BE278BB"/>
    <w:rsid w:val="0BF60972"/>
    <w:rsid w:val="0BFA7120"/>
    <w:rsid w:val="0C013E7A"/>
    <w:rsid w:val="0C326E8E"/>
    <w:rsid w:val="0C3D286D"/>
    <w:rsid w:val="0C594683"/>
    <w:rsid w:val="0C655F04"/>
    <w:rsid w:val="0CA36680"/>
    <w:rsid w:val="0CD742F8"/>
    <w:rsid w:val="0CFB0D0E"/>
    <w:rsid w:val="0D0C16B2"/>
    <w:rsid w:val="0D133CA0"/>
    <w:rsid w:val="0D3471DB"/>
    <w:rsid w:val="0D4E2C10"/>
    <w:rsid w:val="0D5C6DBF"/>
    <w:rsid w:val="0D685B19"/>
    <w:rsid w:val="0D924001"/>
    <w:rsid w:val="0D94286A"/>
    <w:rsid w:val="0D9C5FC0"/>
    <w:rsid w:val="0DA45E8A"/>
    <w:rsid w:val="0DB061A6"/>
    <w:rsid w:val="0DB27E46"/>
    <w:rsid w:val="0E414B35"/>
    <w:rsid w:val="0E48561B"/>
    <w:rsid w:val="0E68281A"/>
    <w:rsid w:val="0E77575E"/>
    <w:rsid w:val="0E8F5211"/>
    <w:rsid w:val="0EC025B6"/>
    <w:rsid w:val="0ECF0A3F"/>
    <w:rsid w:val="0EF0155D"/>
    <w:rsid w:val="0F40035E"/>
    <w:rsid w:val="0F420206"/>
    <w:rsid w:val="0F555E91"/>
    <w:rsid w:val="0F79389A"/>
    <w:rsid w:val="0F7E582E"/>
    <w:rsid w:val="0F9D474E"/>
    <w:rsid w:val="0FB55BCA"/>
    <w:rsid w:val="0FCA5BFA"/>
    <w:rsid w:val="0FE37F39"/>
    <w:rsid w:val="0FF95A4D"/>
    <w:rsid w:val="101A282C"/>
    <w:rsid w:val="10203C21"/>
    <w:rsid w:val="10216E12"/>
    <w:rsid w:val="1056354F"/>
    <w:rsid w:val="1058277E"/>
    <w:rsid w:val="109E4B1A"/>
    <w:rsid w:val="10A56F27"/>
    <w:rsid w:val="10E63820"/>
    <w:rsid w:val="10F369D1"/>
    <w:rsid w:val="11060FB9"/>
    <w:rsid w:val="11146126"/>
    <w:rsid w:val="111622AE"/>
    <w:rsid w:val="11496B75"/>
    <w:rsid w:val="116046AB"/>
    <w:rsid w:val="11664948"/>
    <w:rsid w:val="117912CF"/>
    <w:rsid w:val="11AE63B8"/>
    <w:rsid w:val="11B06F76"/>
    <w:rsid w:val="11BD6896"/>
    <w:rsid w:val="11D52E3B"/>
    <w:rsid w:val="11E15CB8"/>
    <w:rsid w:val="11E6678C"/>
    <w:rsid w:val="11FB2C18"/>
    <w:rsid w:val="120215FA"/>
    <w:rsid w:val="121412B8"/>
    <w:rsid w:val="12232E94"/>
    <w:rsid w:val="122512CC"/>
    <w:rsid w:val="12297209"/>
    <w:rsid w:val="126530C0"/>
    <w:rsid w:val="127A67D9"/>
    <w:rsid w:val="12AB5146"/>
    <w:rsid w:val="12C422A1"/>
    <w:rsid w:val="13030175"/>
    <w:rsid w:val="13363342"/>
    <w:rsid w:val="13695B0F"/>
    <w:rsid w:val="136C3497"/>
    <w:rsid w:val="137112CC"/>
    <w:rsid w:val="138F18F8"/>
    <w:rsid w:val="13B57B91"/>
    <w:rsid w:val="13B66109"/>
    <w:rsid w:val="13CF11CE"/>
    <w:rsid w:val="13D71309"/>
    <w:rsid w:val="13E36F08"/>
    <w:rsid w:val="13E53539"/>
    <w:rsid w:val="13EB4D3C"/>
    <w:rsid w:val="141C66E9"/>
    <w:rsid w:val="14527148"/>
    <w:rsid w:val="14585EE5"/>
    <w:rsid w:val="146A4B93"/>
    <w:rsid w:val="14763198"/>
    <w:rsid w:val="14B457B4"/>
    <w:rsid w:val="14B87CFF"/>
    <w:rsid w:val="14C415B9"/>
    <w:rsid w:val="14C471A6"/>
    <w:rsid w:val="14D16EB6"/>
    <w:rsid w:val="14D533DF"/>
    <w:rsid w:val="150E066F"/>
    <w:rsid w:val="1566037D"/>
    <w:rsid w:val="156F2B87"/>
    <w:rsid w:val="159A1A03"/>
    <w:rsid w:val="15EA626F"/>
    <w:rsid w:val="15EC50CB"/>
    <w:rsid w:val="16136A9B"/>
    <w:rsid w:val="162E66A5"/>
    <w:rsid w:val="16595D10"/>
    <w:rsid w:val="165A0D70"/>
    <w:rsid w:val="16BD0F2B"/>
    <w:rsid w:val="17031EFB"/>
    <w:rsid w:val="17295E37"/>
    <w:rsid w:val="174D11D8"/>
    <w:rsid w:val="175111B0"/>
    <w:rsid w:val="1769733A"/>
    <w:rsid w:val="1788015A"/>
    <w:rsid w:val="17991C8E"/>
    <w:rsid w:val="17C5723F"/>
    <w:rsid w:val="17CB67CB"/>
    <w:rsid w:val="181237D3"/>
    <w:rsid w:val="1849592B"/>
    <w:rsid w:val="18677E6A"/>
    <w:rsid w:val="186E20C4"/>
    <w:rsid w:val="18794E10"/>
    <w:rsid w:val="18902EB0"/>
    <w:rsid w:val="18AC0882"/>
    <w:rsid w:val="18E7306B"/>
    <w:rsid w:val="18F409E7"/>
    <w:rsid w:val="19110A1E"/>
    <w:rsid w:val="192A5953"/>
    <w:rsid w:val="192F69BE"/>
    <w:rsid w:val="1961062A"/>
    <w:rsid w:val="19987F0F"/>
    <w:rsid w:val="19D339CB"/>
    <w:rsid w:val="1A0E38FD"/>
    <w:rsid w:val="1A2571E5"/>
    <w:rsid w:val="1A36356D"/>
    <w:rsid w:val="1A382490"/>
    <w:rsid w:val="1A455D74"/>
    <w:rsid w:val="1A4F4887"/>
    <w:rsid w:val="1A6253ED"/>
    <w:rsid w:val="1A6E324A"/>
    <w:rsid w:val="1AA6628E"/>
    <w:rsid w:val="1ABB76FE"/>
    <w:rsid w:val="1AC30484"/>
    <w:rsid w:val="1ACC1870"/>
    <w:rsid w:val="1ACE5537"/>
    <w:rsid w:val="1B1934EA"/>
    <w:rsid w:val="1B5E79BE"/>
    <w:rsid w:val="1B8037D5"/>
    <w:rsid w:val="1BAB6FD4"/>
    <w:rsid w:val="1BC47421"/>
    <w:rsid w:val="1BEA5D4D"/>
    <w:rsid w:val="1C063420"/>
    <w:rsid w:val="1C3A3FA2"/>
    <w:rsid w:val="1C6C01C5"/>
    <w:rsid w:val="1C78183F"/>
    <w:rsid w:val="1C831747"/>
    <w:rsid w:val="1CA87EF6"/>
    <w:rsid w:val="1CDE349A"/>
    <w:rsid w:val="1CE84F89"/>
    <w:rsid w:val="1CF245BD"/>
    <w:rsid w:val="1D1241A7"/>
    <w:rsid w:val="1D1F0F76"/>
    <w:rsid w:val="1D4E4E61"/>
    <w:rsid w:val="1D82490D"/>
    <w:rsid w:val="1D8D61A6"/>
    <w:rsid w:val="1DBA0E06"/>
    <w:rsid w:val="1DC006BA"/>
    <w:rsid w:val="1DC15797"/>
    <w:rsid w:val="1DCC695C"/>
    <w:rsid w:val="1DDF0BA9"/>
    <w:rsid w:val="1E2C6A77"/>
    <w:rsid w:val="1E5326EA"/>
    <w:rsid w:val="1E8D43AE"/>
    <w:rsid w:val="1E9332A8"/>
    <w:rsid w:val="1EB95019"/>
    <w:rsid w:val="1EBD035F"/>
    <w:rsid w:val="1EC631AE"/>
    <w:rsid w:val="1ED83CEA"/>
    <w:rsid w:val="1EE83106"/>
    <w:rsid w:val="1EFD39F2"/>
    <w:rsid w:val="1F1F026F"/>
    <w:rsid w:val="1F291049"/>
    <w:rsid w:val="1F2B20EC"/>
    <w:rsid w:val="1F3A28D2"/>
    <w:rsid w:val="1F3B5DF3"/>
    <w:rsid w:val="1F514BE7"/>
    <w:rsid w:val="1F592070"/>
    <w:rsid w:val="1F592935"/>
    <w:rsid w:val="1F752819"/>
    <w:rsid w:val="1F832D0A"/>
    <w:rsid w:val="1FAA2644"/>
    <w:rsid w:val="1FC53207"/>
    <w:rsid w:val="1FC71A30"/>
    <w:rsid w:val="1FEB6117"/>
    <w:rsid w:val="201309B4"/>
    <w:rsid w:val="203212E2"/>
    <w:rsid w:val="203A74C8"/>
    <w:rsid w:val="2047534F"/>
    <w:rsid w:val="206F75F4"/>
    <w:rsid w:val="207D3C6D"/>
    <w:rsid w:val="20A31EF0"/>
    <w:rsid w:val="20A411F4"/>
    <w:rsid w:val="20B22880"/>
    <w:rsid w:val="20D068D2"/>
    <w:rsid w:val="20E32006"/>
    <w:rsid w:val="21012080"/>
    <w:rsid w:val="21261367"/>
    <w:rsid w:val="212838C0"/>
    <w:rsid w:val="21377EAE"/>
    <w:rsid w:val="214004BC"/>
    <w:rsid w:val="2151708C"/>
    <w:rsid w:val="21592000"/>
    <w:rsid w:val="21747382"/>
    <w:rsid w:val="21837305"/>
    <w:rsid w:val="218E5381"/>
    <w:rsid w:val="218F4AAC"/>
    <w:rsid w:val="21D05CDC"/>
    <w:rsid w:val="22021378"/>
    <w:rsid w:val="22645425"/>
    <w:rsid w:val="2271677B"/>
    <w:rsid w:val="227C4776"/>
    <w:rsid w:val="227C61C9"/>
    <w:rsid w:val="227F415C"/>
    <w:rsid w:val="22A81BDC"/>
    <w:rsid w:val="22A82C2F"/>
    <w:rsid w:val="22B06271"/>
    <w:rsid w:val="22BC6098"/>
    <w:rsid w:val="22E03076"/>
    <w:rsid w:val="22F166C6"/>
    <w:rsid w:val="23650807"/>
    <w:rsid w:val="23760C6F"/>
    <w:rsid w:val="23FC1E12"/>
    <w:rsid w:val="24646504"/>
    <w:rsid w:val="24AA1F31"/>
    <w:rsid w:val="24AD3E3A"/>
    <w:rsid w:val="24C07AC0"/>
    <w:rsid w:val="24C4410F"/>
    <w:rsid w:val="24D446BA"/>
    <w:rsid w:val="24DB038F"/>
    <w:rsid w:val="25285AFF"/>
    <w:rsid w:val="254C0F6F"/>
    <w:rsid w:val="25731F22"/>
    <w:rsid w:val="257A15F3"/>
    <w:rsid w:val="25803727"/>
    <w:rsid w:val="25B10E75"/>
    <w:rsid w:val="26291984"/>
    <w:rsid w:val="2631213E"/>
    <w:rsid w:val="2650297B"/>
    <w:rsid w:val="26560EEC"/>
    <w:rsid w:val="265763A6"/>
    <w:rsid w:val="265F4AC1"/>
    <w:rsid w:val="26CD2092"/>
    <w:rsid w:val="26E62166"/>
    <w:rsid w:val="26FA224E"/>
    <w:rsid w:val="2712465D"/>
    <w:rsid w:val="271E26A7"/>
    <w:rsid w:val="274A509E"/>
    <w:rsid w:val="274B7259"/>
    <w:rsid w:val="2769759E"/>
    <w:rsid w:val="279100E8"/>
    <w:rsid w:val="27B81A07"/>
    <w:rsid w:val="27D8710D"/>
    <w:rsid w:val="27F60719"/>
    <w:rsid w:val="28173CF2"/>
    <w:rsid w:val="288651B4"/>
    <w:rsid w:val="289812B7"/>
    <w:rsid w:val="28BD2977"/>
    <w:rsid w:val="28CD55BD"/>
    <w:rsid w:val="28FD0E81"/>
    <w:rsid w:val="29067E71"/>
    <w:rsid w:val="290D0CAF"/>
    <w:rsid w:val="292E6EA5"/>
    <w:rsid w:val="294622C9"/>
    <w:rsid w:val="297938EE"/>
    <w:rsid w:val="2991106C"/>
    <w:rsid w:val="29C82B3D"/>
    <w:rsid w:val="29D35D57"/>
    <w:rsid w:val="29E706C0"/>
    <w:rsid w:val="29F376E1"/>
    <w:rsid w:val="2A096806"/>
    <w:rsid w:val="2A2A60CC"/>
    <w:rsid w:val="2A2F09A3"/>
    <w:rsid w:val="2A4F65F2"/>
    <w:rsid w:val="2A621E14"/>
    <w:rsid w:val="2A701DAC"/>
    <w:rsid w:val="2A78008F"/>
    <w:rsid w:val="2AA44C71"/>
    <w:rsid w:val="2ABF6565"/>
    <w:rsid w:val="2AC109F1"/>
    <w:rsid w:val="2AD35392"/>
    <w:rsid w:val="2B2236C4"/>
    <w:rsid w:val="2B677BF1"/>
    <w:rsid w:val="2B7B1284"/>
    <w:rsid w:val="2BA16324"/>
    <w:rsid w:val="2BC44843"/>
    <w:rsid w:val="2C0F353A"/>
    <w:rsid w:val="2C222606"/>
    <w:rsid w:val="2C2B5D19"/>
    <w:rsid w:val="2C5D6F0E"/>
    <w:rsid w:val="2C6774F4"/>
    <w:rsid w:val="2C6930DA"/>
    <w:rsid w:val="2C807EFE"/>
    <w:rsid w:val="2CDA2079"/>
    <w:rsid w:val="2CF10DD7"/>
    <w:rsid w:val="2CF21419"/>
    <w:rsid w:val="2D020571"/>
    <w:rsid w:val="2D036A3D"/>
    <w:rsid w:val="2D121F2D"/>
    <w:rsid w:val="2D494F78"/>
    <w:rsid w:val="2D7C40EE"/>
    <w:rsid w:val="2D8B741F"/>
    <w:rsid w:val="2D8D70B3"/>
    <w:rsid w:val="2D9758DD"/>
    <w:rsid w:val="2D9823FC"/>
    <w:rsid w:val="2DA01316"/>
    <w:rsid w:val="2DAE6105"/>
    <w:rsid w:val="2DF821E5"/>
    <w:rsid w:val="2E211DB8"/>
    <w:rsid w:val="2E293A3C"/>
    <w:rsid w:val="2E3A6570"/>
    <w:rsid w:val="2E5A03D4"/>
    <w:rsid w:val="2E5D1A4C"/>
    <w:rsid w:val="2E661DC9"/>
    <w:rsid w:val="2EB12C2B"/>
    <w:rsid w:val="2EC01466"/>
    <w:rsid w:val="2EF16450"/>
    <w:rsid w:val="2F0917A3"/>
    <w:rsid w:val="2F116797"/>
    <w:rsid w:val="2F2916C7"/>
    <w:rsid w:val="2F3460FD"/>
    <w:rsid w:val="2F5342FE"/>
    <w:rsid w:val="2F58755E"/>
    <w:rsid w:val="2F6354ED"/>
    <w:rsid w:val="2FB66518"/>
    <w:rsid w:val="2FC817D5"/>
    <w:rsid w:val="2FD829B8"/>
    <w:rsid w:val="2FE04752"/>
    <w:rsid w:val="2FE575A9"/>
    <w:rsid w:val="301F672A"/>
    <w:rsid w:val="30333960"/>
    <w:rsid w:val="30350DE0"/>
    <w:rsid w:val="30387394"/>
    <w:rsid w:val="30517CFD"/>
    <w:rsid w:val="30645559"/>
    <w:rsid w:val="30710E1B"/>
    <w:rsid w:val="30B76558"/>
    <w:rsid w:val="30C33EB1"/>
    <w:rsid w:val="30FE0CF0"/>
    <w:rsid w:val="3107353A"/>
    <w:rsid w:val="311F2866"/>
    <w:rsid w:val="3135057E"/>
    <w:rsid w:val="3146373B"/>
    <w:rsid w:val="31560BB4"/>
    <w:rsid w:val="31592B9F"/>
    <w:rsid w:val="31636C29"/>
    <w:rsid w:val="31710062"/>
    <w:rsid w:val="31904FA4"/>
    <w:rsid w:val="31CA3D94"/>
    <w:rsid w:val="31D519BD"/>
    <w:rsid w:val="32413A64"/>
    <w:rsid w:val="32543E81"/>
    <w:rsid w:val="328E6D2B"/>
    <w:rsid w:val="32E43740"/>
    <w:rsid w:val="32E74E25"/>
    <w:rsid w:val="32FA34C8"/>
    <w:rsid w:val="33183423"/>
    <w:rsid w:val="332344F5"/>
    <w:rsid w:val="332A3F68"/>
    <w:rsid w:val="334D03AF"/>
    <w:rsid w:val="33742CF9"/>
    <w:rsid w:val="33782034"/>
    <w:rsid w:val="337E611F"/>
    <w:rsid w:val="3385599E"/>
    <w:rsid w:val="33A14927"/>
    <w:rsid w:val="33C37DC7"/>
    <w:rsid w:val="33E36DAA"/>
    <w:rsid w:val="33EB65C8"/>
    <w:rsid w:val="33ED7895"/>
    <w:rsid w:val="33EF04A8"/>
    <w:rsid w:val="33F924A1"/>
    <w:rsid w:val="34025D0B"/>
    <w:rsid w:val="34173207"/>
    <w:rsid w:val="344B632C"/>
    <w:rsid w:val="34724743"/>
    <w:rsid w:val="34752925"/>
    <w:rsid w:val="34761EE4"/>
    <w:rsid w:val="3490705E"/>
    <w:rsid w:val="349768C5"/>
    <w:rsid w:val="34B95429"/>
    <w:rsid w:val="34BF76F3"/>
    <w:rsid w:val="34C445B7"/>
    <w:rsid w:val="34DE054E"/>
    <w:rsid w:val="35034DBE"/>
    <w:rsid w:val="350D6D40"/>
    <w:rsid w:val="352E3829"/>
    <w:rsid w:val="354145C8"/>
    <w:rsid w:val="35434924"/>
    <w:rsid w:val="35465435"/>
    <w:rsid w:val="3549143F"/>
    <w:rsid w:val="35690A2C"/>
    <w:rsid w:val="356C685C"/>
    <w:rsid w:val="35B86D2B"/>
    <w:rsid w:val="35C61FB6"/>
    <w:rsid w:val="35D80BEB"/>
    <w:rsid w:val="35F539A5"/>
    <w:rsid w:val="36174B80"/>
    <w:rsid w:val="36277202"/>
    <w:rsid w:val="364559F1"/>
    <w:rsid w:val="365D7374"/>
    <w:rsid w:val="367D4F9A"/>
    <w:rsid w:val="36854DE1"/>
    <w:rsid w:val="36921CC4"/>
    <w:rsid w:val="36F739BC"/>
    <w:rsid w:val="37611252"/>
    <w:rsid w:val="37733F9F"/>
    <w:rsid w:val="377A196F"/>
    <w:rsid w:val="37952602"/>
    <w:rsid w:val="37AF5944"/>
    <w:rsid w:val="37E952B1"/>
    <w:rsid w:val="38056016"/>
    <w:rsid w:val="38232B5D"/>
    <w:rsid w:val="383007C6"/>
    <w:rsid w:val="386327BF"/>
    <w:rsid w:val="389612B7"/>
    <w:rsid w:val="38A02E06"/>
    <w:rsid w:val="38B33BFA"/>
    <w:rsid w:val="38CD0AB7"/>
    <w:rsid w:val="38CE0AEF"/>
    <w:rsid w:val="38E16EBA"/>
    <w:rsid w:val="390D4106"/>
    <w:rsid w:val="39316325"/>
    <w:rsid w:val="396F0F6F"/>
    <w:rsid w:val="39C04699"/>
    <w:rsid w:val="39C91A4B"/>
    <w:rsid w:val="39DA1650"/>
    <w:rsid w:val="39E6533E"/>
    <w:rsid w:val="3A0F2027"/>
    <w:rsid w:val="3A10219C"/>
    <w:rsid w:val="3A20771E"/>
    <w:rsid w:val="3A2308B3"/>
    <w:rsid w:val="3A4366AD"/>
    <w:rsid w:val="3A441890"/>
    <w:rsid w:val="3A804915"/>
    <w:rsid w:val="3A9439C0"/>
    <w:rsid w:val="3A9D53F9"/>
    <w:rsid w:val="3ABC65B2"/>
    <w:rsid w:val="3AD7581F"/>
    <w:rsid w:val="3AE1796C"/>
    <w:rsid w:val="3AFE72F1"/>
    <w:rsid w:val="3B094C06"/>
    <w:rsid w:val="3B1C6F5F"/>
    <w:rsid w:val="3B307003"/>
    <w:rsid w:val="3B3741DD"/>
    <w:rsid w:val="3B4F50BA"/>
    <w:rsid w:val="3B8316C7"/>
    <w:rsid w:val="3B965793"/>
    <w:rsid w:val="3BA8736D"/>
    <w:rsid w:val="3BBB4AA7"/>
    <w:rsid w:val="3BBB5060"/>
    <w:rsid w:val="3BE06BE7"/>
    <w:rsid w:val="3C0325A0"/>
    <w:rsid w:val="3C03546E"/>
    <w:rsid w:val="3C0677C7"/>
    <w:rsid w:val="3C0B677D"/>
    <w:rsid w:val="3C281698"/>
    <w:rsid w:val="3C40649F"/>
    <w:rsid w:val="3C604395"/>
    <w:rsid w:val="3C8B4CA1"/>
    <w:rsid w:val="3C947A70"/>
    <w:rsid w:val="3CAC4E3A"/>
    <w:rsid w:val="3CB045E7"/>
    <w:rsid w:val="3CBD5BA4"/>
    <w:rsid w:val="3CC64DB9"/>
    <w:rsid w:val="3CD21DA1"/>
    <w:rsid w:val="3CE81D8C"/>
    <w:rsid w:val="3D245A55"/>
    <w:rsid w:val="3DA53D16"/>
    <w:rsid w:val="3DFE08DD"/>
    <w:rsid w:val="3E597B14"/>
    <w:rsid w:val="3E9A177C"/>
    <w:rsid w:val="3E9A5C13"/>
    <w:rsid w:val="3EC357E4"/>
    <w:rsid w:val="3F2D05E0"/>
    <w:rsid w:val="3F4A50E2"/>
    <w:rsid w:val="3F5932CD"/>
    <w:rsid w:val="3FD56DD8"/>
    <w:rsid w:val="400F62C0"/>
    <w:rsid w:val="401F3004"/>
    <w:rsid w:val="40265EE4"/>
    <w:rsid w:val="4041429A"/>
    <w:rsid w:val="40415A47"/>
    <w:rsid w:val="40822279"/>
    <w:rsid w:val="408508F2"/>
    <w:rsid w:val="409358F0"/>
    <w:rsid w:val="40D12C16"/>
    <w:rsid w:val="40D16219"/>
    <w:rsid w:val="40E91391"/>
    <w:rsid w:val="40F12DDE"/>
    <w:rsid w:val="41014A1C"/>
    <w:rsid w:val="41052E3D"/>
    <w:rsid w:val="41081DED"/>
    <w:rsid w:val="410B708E"/>
    <w:rsid w:val="411739B5"/>
    <w:rsid w:val="41681BD9"/>
    <w:rsid w:val="41BA3F01"/>
    <w:rsid w:val="41F20F74"/>
    <w:rsid w:val="4203455E"/>
    <w:rsid w:val="42197F40"/>
    <w:rsid w:val="423F1C69"/>
    <w:rsid w:val="42724BFB"/>
    <w:rsid w:val="428B7966"/>
    <w:rsid w:val="42CB4754"/>
    <w:rsid w:val="42DB24E9"/>
    <w:rsid w:val="43064292"/>
    <w:rsid w:val="433D5767"/>
    <w:rsid w:val="434D6F45"/>
    <w:rsid w:val="435A7989"/>
    <w:rsid w:val="436E3870"/>
    <w:rsid w:val="437A3223"/>
    <w:rsid w:val="4389194E"/>
    <w:rsid w:val="438D645D"/>
    <w:rsid w:val="43A86E0B"/>
    <w:rsid w:val="441A3B93"/>
    <w:rsid w:val="441D1061"/>
    <w:rsid w:val="44360591"/>
    <w:rsid w:val="443B2666"/>
    <w:rsid w:val="44434687"/>
    <w:rsid w:val="444E4082"/>
    <w:rsid w:val="44603EA0"/>
    <w:rsid w:val="44856EF0"/>
    <w:rsid w:val="44A02E2A"/>
    <w:rsid w:val="450C492E"/>
    <w:rsid w:val="450F394C"/>
    <w:rsid w:val="452F16A8"/>
    <w:rsid w:val="4531303E"/>
    <w:rsid w:val="45650EEB"/>
    <w:rsid w:val="4598033B"/>
    <w:rsid w:val="45BF041E"/>
    <w:rsid w:val="45CA6B8C"/>
    <w:rsid w:val="45E44BFF"/>
    <w:rsid w:val="45E6287D"/>
    <w:rsid w:val="46022D3D"/>
    <w:rsid w:val="460D7005"/>
    <w:rsid w:val="46352734"/>
    <w:rsid w:val="46476FAA"/>
    <w:rsid w:val="466A56D1"/>
    <w:rsid w:val="46792E9A"/>
    <w:rsid w:val="467B0263"/>
    <w:rsid w:val="46983445"/>
    <w:rsid w:val="46A20C90"/>
    <w:rsid w:val="46AE67D0"/>
    <w:rsid w:val="46EA17F3"/>
    <w:rsid w:val="470A7FD2"/>
    <w:rsid w:val="472736C2"/>
    <w:rsid w:val="47286E03"/>
    <w:rsid w:val="47321977"/>
    <w:rsid w:val="47335407"/>
    <w:rsid w:val="4733556D"/>
    <w:rsid w:val="474E7F9D"/>
    <w:rsid w:val="4752432A"/>
    <w:rsid w:val="47550CEE"/>
    <w:rsid w:val="47735B4D"/>
    <w:rsid w:val="478D67CE"/>
    <w:rsid w:val="478E13B2"/>
    <w:rsid w:val="4793645D"/>
    <w:rsid w:val="47940994"/>
    <w:rsid w:val="47946151"/>
    <w:rsid w:val="479A10E6"/>
    <w:rsid w:val="47A61E46"/>
    <w:rsid w:val="47B6106F"/>
    <w:rsid w:val="47CC0FEE"/>
    <w:rsid w:val="47DA1406"/>
    <w:rsid w:val="47F1222D"/>
    <w:rsid w:val="483B4302"/>
    <w:rsid w:val="48484DB3"/>
    <w:rsid w:val="48556DC9"/>
    <w:rsid w:val="48A37F2A"/>
    <w:rsid w:val="48B46493"/>
    <w:rsid w:val="490376AC"/>
    <w:rsid w:val="4939123F"/>
    <w:rsid w:val="4966461E"/>
    <w:rsid w:val="496F5372"/>
    <w:rsid w:val="49701B61"/>
    <w:rsid w:val="499A4E3B"/>
    <w:rsid w:val="49A84F42"/>
    <w:rsid w:val="49DE7360"/>
    <w:rsid w:val="4A015C4F"/>
    <w:rsid w:val="4A0D227B"/>
    <w:rsid w:val="4A1D7CF7"/>
    <w:rsid w:val="4A2D5C6A"/>
    <w:rsid w:val="4A43745D"/>
    <w:rsid w:val="4A6812DE"/>
    <w:rsid w:val="4A710A8F"/>
    <w:rsid w:val="4A7E5FA5"/>
    <w:rsid w:val="4AD93A9A"/>
    <w:rsid w:val="4B4B31D8"/>
    <w:rsid w:val="4B4D7AA5"/>
    <w:rsid w:val="4B580AA3"/>
    <w:rsid w:val="4B8A79F7"/>
    <w:rsid w:val="4BC24F65"/>
    <w:rsid w:val="4BC541E3"/>
    <w:rsid w:val="4BD17304"/>
    <w:rsid w:val="4BD5537E"/>
    <w:rsid w:val="4BF85799"/>
    <w:rsid w:val="4BFD7A3C"/>
    <w:rsid w:val="4C227440"/>
    <w:rsid w:val="4C3B1363"/>
    <w:rsid w:val="4C491C6C"/>
    <w:rsid w:val="4C591023"/>
    <w:rsid w:val="4D240432"/>
    <w:rsid w:val="4DCC4DBE"/>
    <w:rsid w:val="4DCD0DBA"/>
    <w:rsid w:val="4DCD6201"/>
    <w:rsid w:val="4DCE09E4"/>
    <w:rsid w:val="4DD07B7F"/>
    <w:rsid w:val="4DF66CDF"/>
    <w:rsid w:val="4DF929A4"/>
    <w:rsid w:val="4DFB683B"/>
    <w:rsid w:val="4E256CBD"/>
    <w:rsid w:val="4E287734"/>
    <w:rsid w:val="4E575077"/>
    <w:rsid w:val="4E6558AB"/>
    <w:rsid w:val="4E700271"/>
    <w:rsid w:val="4E882D61"/>
    <w:rsid w:val="4E905991"/>
    <w:rsid w:val="4EA55C29"/>
    <w:rsid w:val="4EAB6C93"/>
    <w:rsid w:val="4EB22808"/>
    <w:rsid w:val="4EBF76F1"/>
    <w:rsid w:val="4ECD43F8"/>
    <w:rsid w:val="4EDB1D1C"/>
    <w:rsid w:val="4EFE45A5"/>
    <w:rsid w:val="4F076C2F"/>
    <w:rsid w:val="4F0A228E"/>
    <w:rsid w:val="4F0F14E0"/>
    <w:rsid w:val="4F110836"/>
    <w:rsid w:val="4F302F79"/>
    <w:rsid w:val="4F4344D2"/>
    <w:rsid w:val="4F4E06B4"/>
    <w:rsid w:val="4F5C1F08"/>
    <w:rsid w:val="4F7424C4"/>
    <w:rsid w:val="4F7C137A"/>
    <w:rsid w:val="4F9064A1"/>
    <w:rsid w:val="4F962C15"/>
    <w:rsid w:val="4FD013AE"/>
    <w:rsid w:val="4FE72FE0"/>
    <w:rsid w:val="506E137E"/>
    <w:rsid w:val="506E207D"/>
    <w:rsid w:val="508F0EB9"/>
    <w:rsid w:val="5093457A"/>
    <w:rsid w:val="509904DD"/>
    <w:rsid w:val="50AF148F"/>
    <w:rsid w:val="50EB647F"/>
    <w:rsid w:val="50F07308"/>
    <w:rsid w:val="5114509C"/>
    <w:rsid w:val="51344B96"/>
    <w:rsid w:val="51450414"/>
    <w:rsid w:val="514812D4"/>
    <w:rsid w:val="515E2727"/>
    <w:rsid w:val="51665BAD"/>
    <w:rsid w:val="51831779"/>
    <w:rsid w:val="519A5579"/>
    <w:rsid w:val="51AF7073"/>
    <w:rsid w:val="51E47DDD"/>
    <w:rsid w:val="52005309"/>
    <w:rsid w:val="525B0691"/>
    <w:rsid w:val="52616E81"/>
    <w:rsid w:val="52690188"/>
    <w:rsid w:val="528C1667"/>
    <w:rsid w:val="52A87476"/>
    <w:rsid w:val="52B24724"/>
    <w:rsid w:val="52CF6842"/>
    <w:rsid w:val="52EA71AC"/>
    <w:rsid w:val="52EF16D0"/>
    <w:rsid w:val="52FF5D02"/>
    <w:rsid w:val="53076371"/>
    <w:rsid w:val="532F07BD"/>
    <w:rsid w:val="53397DC3"/>
    <w:rsid w:val="533C58E9"/>
    <w:rsid w:val="53552D25"/>
    <w:rsid w:val="535B6F2F"/>
    <w:rsid w:val="536B5D46"/>
    <w:rsid w:val="536D6F80"/>
    <w:rsid w:val="537C418D"/>
    <w:rsid w:val="538D2FC3"/>
    <w:rsid w:val="53DB4029"/>
    <w:rsid w:val="53E12E08"/>
    <w:rsid w:val="53E13595"/>
    <w:rsid w:val="540A1C67"/>
    <w:rsid w:val="540C63A6"/>
    <w:rsid w:val="5428451E"/>
    <w:rsid w:val="543E2684"/>
    <w:rsid w:val="544555DA"/>
    <w:rsid w:val="545B1B8B"/>
    <w:rsid w:val="5462206E"/>
    <w:rsid w:val="5479041B"/>
    <w:rsid w:val="547B73F5"/>
    <w:rsid w:val="54B82931"/>
    <w:rsid w:val="54DA7842"/>
    <w:rsid w:val="54ED3977"/>
    <w:rsid w:val="5510764B"/>
    <w:rsid w:val="55206696"/>
    <w:rsid w:val="55207ED1"/>
    <w:rsid w:val="553F055B"/>
    <w:rsid w:val="556058C7"/>
    <w:rsid w:val="55850168"/>
    <w:rsid w:val="55877026"/>
    <w:rsid w:val="55C61DDD"/>
    <w:rsid w:val="55E04E96"/>
    <w:rsid w:val="55F322C5"/>
    <w:rsid w:val="5633736B"/>
    <w:rsid w:val="56734A0A"/>
    <w:rsid w:val="56944012"/>
    <w:rsid w:val="569D5897"/>
    <w:rsid w:val="56C454E4"/>
    <w:rsid w:val="56D72F1A"/>
    <w:rsid w:val="56E64717"/>
    <w:rsid w:val="56F74EEC"/>
    <w:rsid w:val="56F91133"/>
    <w:rsid w:val="56FF7F9A"/>
    <w:rsid w:val="575461F7"/>
    <w:rsid w:val="576E366D"/>
    <w:rsid w:val="579B1B61"/>
    <w:rsid w:val="57B56306"/>
    <w:rsid w:val="57FA760D"/>
    <w:rsid w:val="580C3A63"/>
    <w:rsid w:val="580C6858"/>
    <w:rsid w:val="583341D7"/>
    <w:rsid w:val="584F2F05"/>
    <w:rsid w:val="587E53CA"/>
    <w:rsid w:val="58910A00"/>
    <w:rsid w:val="58D069C8"/>
    <w:rsid w:val="58DA7B15"/>
    <w:rsid w:val="5911226D"/>
    <w:rsid w:val="59125525"/>
    <w:rsid w:val="593E671D"/>
    <w:rsid w:val="59600515"/>
    <w:rsid w:val="597C42FE"/>
    <w:rsid w:val="597F51DB"/>
    <w:rsid w:val="59800632"/>
    <w:rsid w:val="59A44656"/>
    <w:rsid w:val="59B03DD3"/>
    <w:rsid w:val="59C56FDD"/>
    <w:rsid w:val="59CC57D0"/>
    <w:rsid w:val="5A0129FC"/>
    <w:rsid w:val="5A2703F4"/>
    <w:rsid w:val="5A2F0BF8"/>
    <w:rsid w:val="5A482088"/>
    <w:rsid w:val="5A5206DF"/>
    <w:rsid w:val="5A542C07"/>
    <w:rsid w:val="5A6234E2"/>
    <w:rsid w:val="5A627549"/>
    <w:rsid w:val="5A7A75CE"/>
    <w:rsid w:val="5A8B3F59"/>
    <w:rsid w:val="5AB42FF7"/>
    <w:rsid w:val="5AC95812"/>
    <w:rsid w:val="5B001F9D"/>
    <w:rsid w:val="5B161F0B"/>
    <w:rsid w:val="5B5A4066"/>
    <w:rsid w:val="5B7E3C58"/>
    <w:rsid w:val="5B9B6110"/>
    <w:rsid w:val="5BAA6402"/>
    <w:rsid w:val="5BC94012"/>
    <w:rsid w:val="5BD370B1"/>
    <w:rsid w:val="5BD66DE5"/>
    <w:rsid w:val="5BDF089D"/>
    <w:rsid w:val="5BE53467"/>
    <w:rsid w:val="5C0D7ACC"/>
    <w:rsid w:val="5C581354"/>
    <w:rsid w:val="5C594328"/>
    <w:rsid w:val="5C6313F0"/>
    <w:rsid w:val="5C7B58DA"/>
    <w:rsid w:val="5C8330B9"/>
    <w:rsid w:val="5CB8439F"/>
    <w:rsid w:val="5CDE3049"/>
    <w:rsid w:val="5CF13C91"/>
    <w:rsid w:val="5D0C5C8A"/>
    <w:rsid w:val="5D515BB8"/>
    <w:rsid w:val="5D656FEC"/>
    <w:rsid w:val="5D9725CD"/>
    <w:rsid w:val="5DBA20EA"/>
    <w:rsid w:val="5E3203DA"/>
    <w:rsid w:val="5E7100B4"/>
    <w:rsid w:val="5E790703"/>
    <w:rsid w:val="5E7D59F4"/>
    <w:rsid w:val="5E8D2F34"/>
    <w:rsid w:val="5E9A35FD"/>
    <w:rsid w:val="5EAE1517"/>
    <w:rsid w:val="5EB712C1"/>
    <w:rsid w:val="5EFB1892"/>
    <w:rsid w:val="5F193EB5"/>
    <w:rsid w:val="5F2D5DD8"/>
    <w:rsid w:val="5F3E2DCA"/>
    <w:rsid w:val="5F481E7C"/>
    <w:rsid w:val="5F536AF7"/>
    <w:rsid w:val="5F5D7283"/>
    <w:rsid w:val="5F8A4EA6"/>
    <w:rsid w:val="5FAA35F5"/>
    <w:rsid w:val="5FD203AA"/>
    <w:rsid w:val="5FEA2C10"/>
    <w:rsid w:val="5FFF7A76"/>
    <w:rsid w:val="60557A31"/>
    <w:rsid w:val="605A326A"/>
    <w:rsid w:val="60612A21"/>
    <w:rsid w:val="609469F6"/>
    <w:rsid w:val="60B17ED6"/>
    <w:rsid w:val="60B72E35"/>
    <w:rsid w:val="60C51B55"/>
    <w:rsid w:val="610412AB"/>
    <w:rsid w:val="610E0276"/>
    <w:rsid w:val="61146018"/>
    <w:rsid w:val="611645C8"/>
    <w:rsid w:val="612D2A86"/>
    <w:rsid w:val="615B4C2C"/>
    <w:rsid w:val="618D1647"/>
    <w:rsid w:val="61CB071B"/>
    <w:rsid w:val="620074A7"/>
    <w:rsid w:val="620C6FAD"/>
    <w:rsid w:val="62166846"/>
    <w:rsid w:val="621A40BA"/>
    <w:rsid w:val="622A7684"/>
    <w:rsid w:val="623814CE"/>
    <w:rsid w:val="623C404E"/>
    <w:rsid w:val="623F26A1"/>
    <w:rsid w:val="624A52E4"/>
    <w:rsid w:val="62605ABD"/>
    <w:rsid w:val="627C5D5C"/>
    <w:rsid w:val="62B62BAA"/>
    <w:rsid w:val="62D4361B"/>
    <w:rsid w:val="62DC1C0C"/>
    <w:rsid w:val="62ED52CD"/>
    <w:rsid w:val="62EF7F41"/>
    <w:rsid w:val="62F20A31"/>
    <w:rsid w:val="62FE6DCC"/>
    <w:rsid w:val="631E766C"/>
    <w:rsid w:val="631F149E"/>
    <w:rsid w:val="634F701D"/>
    <w:rsid w:val="6358478B"/>
    <w:rsid w:val="63915D2E"/>
    <w:rsid w:val="63EE0983"/>
    <w:rsid w:val="6432149C"/>
    <w:rsid w:val="643A7E5F"/>
    <w:rsid w:val="643C737B"/>
    <w:rsid w:val="64431941"/>
    <w:rsid w:val="644577F2"/>
    <w:rsid w:val="64674E53"/>
    <w:rsid w:val="646D3566"/>
    <w:rsid w:val="646D5912"/>
    <w:rsid w:val="649A155C"/>
    <w:rsid w:val="64AD61CC"/>
    <w:rsid w:val="64B85503"/>
    <w:rsid w:val="64C970A6"/>
    <w:rsid w:val="64CF7CDA"/>
    <w:rsid w:val="65360951"/>
    <w:rsid w:val="65461BCD"/>
    <w:rsid w:val="65504336"/>
    <w:rsid w:val="65775716"/>
    <w:rsid w:val="65AF56F5"/>
    <w:rsid w:val="65BF57CC"/>
    <w:rsid w:val="65F1491B"/>
    <w:rsid w:val="660E65C5"/>
    <w:rsid w:val="662D4138"/>
    <w:rsid w:val="66332206"/>
    <w:rsid w:val="66883359"/>
    <w:rsid w:val="66B067C8"/>
    <w:rsid w:val="66BD61E4"/>
    <w:rsid w:val="66BF7E09"/>
    <w:rsid w:val="66CC79AA"/>
    <w:rsid w:val="67010918"/>
    <w:rsid w:val="670E693C"/>
    <w:rsid w:val="673378CE"/>
    <w:rsid w:val="67846164"/>
    <w:rsid w:val="6785212B"/>
    <w:rsid w:val="67B02B95"/>
    <w:rsid w:val="67C33A58"/>
    <w:rsid w:val="67D23C0A"/>
    <w:rsid w:val="67DB310E"/>
    <w:rsid w:val="680D75E6"/>
    <w:rsid w:val="680F7016"/>
    <w:rsid w:val="68185007"/>
    <w:rsid w:val="68335E16"/>
    <w:rsid w:val="68495412"/>
    <w:rsid w:val="685B7B1D"/>
    <w:rsid w:val="68626578"/>
    <w:rsid w:val="68672FA3"/>
    <w:rsid w:val="6878017B"/>
    <w:rsid w:val="68985E1C"/>
    <w:rsid w:val="689B2E75"/>
    <w:rsid w:val="68C971EC"/>
    <w:rsid w:val="68F0240D"/>
    <w:rsid w:val="68F92632"/>
    <w:rsid w:val="69282E93"/>
    <w:rsid w:val="693F0B02"/>
    <w:rsid w:val="696570DE"/>
    <w:rsid w:val="696D3AEF"/>
    <w:rsid w:val="698C2ACB"/>
    <w:rsid w:val="69A44565"/>
    <w:rsid w:val="69A728D7"/>
    <w:rsid w:val="69AC570B"/>
    <w:rsid w:val="69DD42C0"/>
    <w:rsid w:val="69FC6B81"/>
    <w:rsid w:val="6A117834"/>
    <w:rsid w:val="6A136F90"/>
    <w:rsid w:val="6A295529"/>
    <w:rsid w:val="6A296D63"/>
    <w:rsid w:val="6A6224E5"/>
    <w:rsid w:val="6A9F63B8"/>
    <w:rsid w:val="6ABF4A93"/>
    <w:rsid w:val="6B3353E8"/>
    <w:rsid w:val="6B3C12E9"/>
    <w:rsid w:val="6B626827"/>
    <w:rsid w:val="6B727620"/>
    <w:rsid w:val="6B836DF1"/>
    <w:rsid w:val="6BC623F2"/>
    <w:rsid w:val="6BE23C62"/>
    <w:rsid w:val="6BEE7E87"/>
    <w:rsid w:val="6C0C1EB3"/>
    <w:rsid w:val="6C6C1100"/>
    <w:rsid w:val="6C8A3D77"/>
    <w:rsid w:val="6C8F70E9"/>
    <w:rsid w:val="6CC92E37"/>
    <w:rsid w:val="6D0B59B8"/>
    <w:rsid w:val="6D2F5F5A"/>
    <w:rsid w:val="6D363430"/>
    <w:rsid w:val="6D6F4BFB"/>
    <w:rsid w:val="6D79567B"/>
    <w:rsid w:val="6D8375D9"/>
    <w:rsid w:val="6DB31E43"/>
    <w:rsid w:val="6DBB6C34"/>
    <w:rsid w:val="6DC02C5E"/>
    <w:rsid w:val="6DD11EE3"/>
    <w:rsid w:val="6DE80A05"/>
    <w:rsid w:val="6DF407EB"/>
    <w:rsid w:val="6E1B1D0E"/>
    <w:rsid w:val="6E3A745D"/>
    <w:rsid w:val="6E3D2D94"/>
    <w:rsid w:val="6E4B5969"/>
    <w:rsid w:val="6E7111AF"/>
    <w:rsid w:val="6E766582"/>
    <w:rsid w:val="6EAE0577"/>
    <w:rsid w:val="6F0C6264"/>
    <w:rsid w:val="6F1C4342"/>
    <w:rsid w:val="6F1E0D93"/>
    <w:rsid w:val="6F3202F2"/>
    <w:rsid w:val="6F553135"/>
    <w:rsid w:val="6F5F41C5"/>
    <w:rsid w:val="6F6D0A37"/>
    <w:rsid w:val="6F743F4A"/>
    <w:rsid w:val="6FAC569B"/>
    <w:rsid w:val="6FD839C1"/>
    <w:rsid w:val="6FDF5CB9"/>
    <w:rsid w:val="6FE2229E"/>
    <w:rsid w:val="6FFE24A2"/>
    <w:rsid w:val="700F050B"/>
    <w:rsid w:val="70106B81"/>
    <w:rsid w:val="70455252"/>
    <w:rsid w:val="7066258D"/>
    <w:rsid w:val="70966B9D"/>
    <w:rsid w:val="70A86705"/>
    <w:rsid w:val="70B63CBE"/>
    <w:rsid w:val="70B76483"/>
    <w:rsid w:val="70D03BFD"/>
    <w:rsid w:val="70E3261D"/>
    <w:rsid w:val="710D17E7"/>
    <w:rsid w:val="710E7E97"/>
    <w:rsid w:val="712602BF"/>
    <w:rsid w:val="71574160"/>
    <w:rsid w:val="719B5F30"/>
    <w:rsid w:val="719C199B"/>
    <w:rsid w:val="71D13878"/>
    <w:rsid w:val="71E8095E"/>
    <w:rsid w:val="71FD3EDC"/>
    <w:rsid w:val="71FE5F96"/>
    <w:rsid w:val="721B14FF"/>
    <w:rsid w:val="72615E4D"/>
    <w:rsid w:val="72630282"/>
    <w:rsid w:val="728225B9"/>
    <w:rsid w:val="72984FCA"/>
    <w:rsid w:val="72A537BB"/>
    <w:rsid w:val="72BE1F7B"/>
    <w:rsid w:val="72FE2E35"/>
    <w:rsid w:val="731163F0"/>
    <w:rsid w:val="731B1F4E"/>
    <w:rsid w:val="732B5930"/>
    <w:rsid w:val="733C57F0"/>
    <w:rsid w:val="7350369C"/>
    <w:rsid w:val="73627FF9"/>
    <w:rsid w:val="737A2CB8"/>
    <w:rsid w:val="738A3926"/>
    <w:rsid w:val="739A44B0"/>
    <w:rsid w:val="73DB0753"/>
    <w:rsid w:val="73E47FAB"/>
    <w:rsid w:val="73F446E1"/>
    <w:rsid w:val="73F65723"/>
    <w:rsid w:val="740E48E9"/>
    <w:rsid w:val="742158CA"/>
    <w:rsid w:val="74487C51"/>
    <w:rsid w:val="744B6315"/>
    <w:rsid w:val="745D0D34"/>
    <w:rsid w:val="74630219"/>
    <w:rsid w:val="746672DC"/>
    <w:rsid w:val="74A14996"/>
    <w:rsid w:val="75027F0B"/>
    <w:rsid w:val="751B471B"/>
    <w:rsid w:val="751B52F7"/>
    <w:rsid w:val="751D7B9D"/>
    <w:rsid w:val="75282EDE"/>
    <w:rsid w:val="754A695B"/>
    <w:rsid w:val="758A352C"/>
    <w:rsid w:val="75BC7576"/>
    <w:rsid w:val="75DE273F"/>
    <w:rsid w:val="75E46C94"/>
    <w:rsid w:val="76280E8D"/>
    <w:rsid w:val="762A5148"/>
    <w:rsid w:val="76333AF7"/>
    <w:rsid w:val="76341B67"/>
    <w:rsid w:val="766D48F8"/>
    <w:rsid w:val="76892352"/>
    <w:rsid w:val="76B35568"/>
    <w:rsid w:val="76D43EA5"/>
    <w:rsid w:val="76E15234"/>
    <w:rsid w:val="76E57751"/>
    <w:rsid w:val="76F50490"/>
    <w:rsid w:val="77494FBC"/>
    <w:rsid w:val="774C5B17"/>
    <w:rsid w:val="776D6F96"/>
    <w:rsid w:val="77AF6231"/>
    <w:rsid w:val="77B71362"/>
    <w:rsid w:val="77C70B1C"/>
    <w:rsid w:val="77D17C20"/>
    <w:rsid w:val="77D5191C"/>
    <w:rsid w:val="77E02B35"/>
    <w:rsid w:val="77FB43B8"/>
    <w:rsid w:val="78246CEE"/>
    <w:rsid w:val="78426EA7"/>
    <w:rsid w:val="7848320A"/>
    <w:rsid w:val="78512D5A"/>
    <w:rsid w:val="788A48B0"/>
    <w:rsid w:val="789F27C8"/>
    <w:rsid w:val="78A927BC"/>
    <w:rsid w:val="78FB5F0C"/>
    <w:rsid w:val="7900532B"/>
    <w:rsid w:val="790E7658"/>
    <w:rsid w:val="79281448"/>
    <w:rsid w:val="792C0C3D"/>
    <w:rsid w:val="79570162"/>
    <w:rsid w:val="79575EF9"/>
    <w:rsid w:val="79AA08AF"/>
    <w:rsid w:val="79BF2132"/>
    <w:rsid w:val="79C637F9"/>
    <w:rsid w:val="79E42F97"/>
    <w:rsid w:val="7A4E3061"/>
    <w:rsid w:val="7A563C92"/>
    <w:rsid w:val="7A7E515A"/>
    <w:rsid w:val="7AFB66ED"/>
    <w:rsid w:val="7B032ED5"/>
    <w:rsid w:val="7B1368E0"/>
    <w:rsid w:val="7B1B6DFE"/>
    <w:rsid w:val="7B3078B1"/>
    <w:rsid w:val="7B526246"/>
    <w:rsid w:val="7B623EC3"/>
    <w:rsid w:val="7B775C4B"/>
    <w:rsid w:val="7BB44AC5"/>
    <w:rsid w:val="7BF76DB6"/>
    <w:rsid w:val="7C037440"/>
    <w:rsid w:val="7C2416B9"/>
    <w:rsid w:val="7C242A76"/>
    <w:rsid w:val="7C3F6CC2"/>
    <w:rsid w:val="7C4D46CD"/>
    <w:rsid w:val="7C4E7B8F"/>
    <w:rsid w:val="7C673D0C"/>
    <w:rsid w:val="7C712591"/>
    <w:rsid w:val="7C870107"/>
    <w:rsid w:val="7C8E009F"/>
    <w:rsid w:val="7CC93B08"/>
    <w:rsid w:val="7CDB28FB"/>
    <w:rsid w:val="7CF34E81"/>
    <w:rsid w:val="7D1F758A"/>
    <w:rsid w:val="7D345C43"/>
    <w:rsid w:val="7D62204F"/>
    <w:rsid w:val="7D79500A"/>
    <w:rsid w:val="7D7C3BD7"/>
    <w:rsid w:val="7D954D64"/>
    <w:rsid w:val="7DCF30F2"/>
    <w:rsid w:val="7DD933CC"/>
    <w:rsid w:val="7DE06AD4"/>
    <w:rsid w:val="7DEC6F01"/>
    <w:rsid w:val="7E4230E7"/>
    <w:rsid w:val="7E465643"/>
    <w:rsid w:val="7E62023E"/>
    <w:rsid w:val="7E6965BA"/>
    <w:rsid w:val="7E6B730B"/>
    <w:rsid w:val="7E9978A2"/>
    <w:rsid w:val="7EA43677"/>
    <w:rsid w:val="7EAF7F01"/>
    <w:rsid w:val="7EB44D71"/>
    <w:rsid w:val="7EBF535B"/>
    <w:rsid w:val="7F23122B"/>
    <w:rsid w:val="7F4A12EA"/>
    <w:rsid w:val="7FD95CED"/>
    <w:rsid w:val="7FF77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footer"/>
    <w:basedOn w:val="1"/>
    <w:qFormat/>
    <w:uiPriority w:val="0"/>
    <w:pPr>
      <w:snapToGrid w:val="0"/>
      <w:ind w:right="210" w:rightChars="100"/>
      <w:jc w:val="right"/>
    </w:pPr>
    <w:rPr>
      <w:sz w:val="18"/>
      <w:szCs w:val="18"/>
    </w:rPr>
  </w:style>
  <w:style w:type="paragraph" w:styleId="16">
    <w:name w:val="header"/>
    <w:basedOn w:val="1"/>
    <w:qFormat/>
    <w:uiPriority w:val="0"/>
    <w:pPr>
      <w:snapToGrid w:val="0"/>
      <w:jc w:val="left"/>
    </w:pPr>
    <w:rPr>
      <w:sz w:val="18"/>
      <w:szCs w:val="18"/>
    </w:rPr>
  </w:style>
  <w:style w:type="paragraph" w:styleId="17">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8">
    <w:name w:val="toc 4"/>
    <w:basedOn w:val="1"/>
    <w:next w:val="1"/>
    <w:semiHidden/>
    <w:qFormat/>
    <w:uiPriority w:val="0"/>
    <w:pPr>
      <w:tabs>
        <w:tab w:val="right" w:leader="dot" w:pos="9241"/>
      </w:tabs>
      <w:ind w:firstLine="200"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21"/>
    <w:qFormat/>
    <w:uiPriority w:val="0"/>
    <w:pPr>
      <w:tabs>
        <w:tab w:val="right" w:leader="dot" w:pos="9299"/>
      </w:tabs>
      <w:jc w:val="left"/>
    </w:pPr>
    <w:rPr>
      <w:rFonts w:ascii="宋体"/>
      <w:szCs w:val="21"/>
    </w:rPr>
  </w:style>
  <w:style w:type="paragraph" w:customStyle="1" w:styleId="21">
    <w:name w:val="段"/>
    <w:link w:val="1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qFormat/>
    <w:uiPriority w:val="0"/>
    <w:pPr>
      <w:numPr>
        <w:ilvl w:val="0"/>
        <w:numId w:val="1"/>
      </w:numPr>
      <w:snapToGrid w:val="0"/>
      <w:jc w:val="left"/>
    </w:pPr>
    <w:rPr>
      <w:rFonts w:ascii="宋体"/>
      <w:sz w:val="18"/>
      <w:szCs w:val="18"/>
    </w:rPr>
  </w:style>
  <w:style w:type="paragraph" w:styleId="23">
    <w:name w:val="toc 6"/>
    <w:basedOn w:val="1"/>
    <w:next w:val="1"/>
    <w:semiHidden/>
    <w:qFormat/>
    <w:uiPriority w:val="0"/>
    <w:pPr>
      <w:tabs>
        <w:tab w:val="right" w:leader="dot" w:pos="9241"/>
      </w:tabs>
      <w:ind w:firstLine="400"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2"/>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0"/>
    <w:rPr>
      <w:b/>
    </w:rPr>
  </w:style>
  <w:style w:type="character" w:styleId="34">
    <w:name w:val="endnote reference"/>
    <w:basedOn w:val="32"/>
    <w:semiHidden/>
    <w:qFormat/>
    <w:uiPriority w:val="0"/>
    <w:rPr>
      <w:vertAlign w:val="superscript"/>
    </w:rPr>
  </w:style>
  <w:style w:type="character" w:styleId="35">
    <w:name w:val="page number"/>
    <w:basedOn w:val="32"/>
    <w:qFormat/>
    <w:uiPriority w:val="0"/>
    <w:rPr>
      <w:rFonts w:ascii="Times New Roman" w:hAnsi="Times New Roman" w:eastAsia="宋体"/>
      <w:sz w:val="18"/>
    </w:rPr>
  </w:style>
  <w:style w:type="character" w:styleId="36">
    <w:name w:val="FollowedHyperlink"/>
    <w:basedOn w:val="32"/>
    <w:qFormat/>
    <w:uiPriority w:val="0"/>
    <w:rPr>
      <w:color w:val="800080"/>
      <w:u w:val="single"/>
    </w:rPr>
  </w:style>
  <w:style w:type="character" w:styleId="37">
    <w:name w:val="Hyperlink"/>
    <w:basedOn w:val="32"/>
    <w:qFormat/>
    <w:uiPriority w:val="0"/>
    <w:rPr>
      <w:color w:val="0000FF"/>
      <w:spacing w:val="0"/>
      <w:w w:val="100"/>
      <w:szCs w:val="21"/>
      <w:u w:val="single"/>
    </w:rPr>
  </w:style>
  <w:style w:type="character" w:styleId="38">
    <w:name w:val="annotation reference"/>
    <w:basedOn w:val="32"/>
    <w:qFormat/>
    <w:uiPriority w:val="0"/>
    <w:rPr>
      <w:sz w:val="21"/>
      <w:szCs w:val="21"/>
    </w:rPr>
  </w:style>
  <w:style w:type="character" w:styleId="39">
    <w:name w:val="footnote reference"/>
    <w:basedOn w:val="32"/>
    <w:semiHidden/>
    <w:qFormat/>
    <w:uiPriority w:val="0"/>
    <w:rPr>
      <w:vertAlign w:val="superscript"/>
    </w:rPr>
  </w:style>
  <w:style w:type="paragraph" w:customStyle="1" w:styleId="40">
    <w:name w:val="附录标识"/>
    <w:basedOn w:val="1"/>
    <w:next w:val="21"/>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1">
    <w:name w:val="注："/>
    <w:next w:val="21"/>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42">
    <w:name w:val="标准书眉_偶数页"/>
    <w:basedOn w:val="43"/>
    <w:next w:val="1"/>
    <w:qFormat/>
    <w:uiPriority w:val="0"/>
    <w:pPr>
      <w:tabs>
        <w:tab w:val="center" w:pos="4154"/>
        <w:tab w:val="right" w:pos="8306"/>
      </w:tabs>
      <w:jc w:val="left"/>
    </w:pPr>
    <w:rPr>
      <w:rFonts w:ascii="黑体" w:eastAsia="黑体"/>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其他标准标志"/>
    <w:basedOn w:val="45"/>
    <w:qFormat/>
    <w:uiPriority w:val="0"/>
    <w:pPr>
      <w:framePr w:w="6101" w:vAnchor="page" w:hAnchor="page" w:x="4673" w:y="942"/>
    </w:pPr>
    <w:rPr>
      <w:w w:val="130"/>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7">
    <w:name w:val="四级无"/>
    <w:basedOn w:val="48"/>
    <w:qFormat/>
    <w:uiPriority w:val="0"/>
    <w:pPr>
      <w:spacing w:before="0" w:beforeLines="0" w:after="0" w:afterLines="0"/>
    </w:pPr>
    <w:rPr>
      <w:rFonts w:ascii="宋体" w:eastAsia="宋体"/>
    </w:rPr>
  </w:style>
  <w:style w:type="paragraph" w:customStyle="1" w:styleId="48">
    <w:name w:val="四级条标题"/>
    <w:basedOn w:val="49"/>
    <w:next w:val="21"/>
    <w:qFormat/>
    <w:uiPriority w:val="0"/>
    <w:pPr>
      <w:numPr>
        <w:ilvl w:val="4"/>
        <w:numId w:val="5"/>
      </w:numPr>
      <w:outlineLvl w:val="5"/>
    </w:pPr>
  </w:style>
  <w:style w:type="paragraph" w:customStyle="1" w:styleId="49">
    <w:name w:val="三级条标题"/>
    <w:basedOn w:val="50"/>
    <w:next w:val="21"/>
    <w:qFormat/>
    <w:uiPriority w:val="0"/>
    <w:pPr>
      <w:numPr>
        <w:ilvl w:val="3"/>
        <w:numId w:val="5"/>
      </w:numPr>
      <w:outlineLvl w:val="4"/>
    </w:pPr>
  </w:style>
  <w:style w:type="paragraph" w:customStyle="1" w:styleId="50">
    <w:name w:val="二级条标题"/>
    <w:basedOn w:val="51"/>
    <w:next w:val="21"/>
    <w:qFormat/>
    <w:uiPriority w:val="0"/>
    <w:pPr>
      <w:numPr>
        <w:ilvl w:val="2"/>
        <w:numId w:val="5"/>
      </w:numPr>
      <w:spacing w:before="50" w:after="50"/>
      <w:outlineLvl w:val="3"/>
    </w:pPr>
  </w:style>
  <w:style w:type="paragraph" w:customStyle="1" w:styleId="51">
    <w:name w:val="一级条标题"/>
    <w:next w:val="21"/>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53">
    <w:name w:val="正文表标题"/>
    <w:next w:val="21"/>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4">
    <w:name w:val="五级条标题"/>
    <w:basedOn w:val="48"/>
    <w:next w:val="21"/>
    <w:qFormat/>
    <w:uiPriority w:val="0"/>
    <w:pPr>
      <w:numPr>
        <w:ilvl w:val="5"/>
        <w:numId w:val="5"/>
      </w:numPr>
      <w:outlineLvl w:val="6"/>
    </w:pPr>
  </w:style>
  <w:style w:type="paragraph" w:customStyle="1" w:styleId="55">
    <w:name w:val="附录章标题"/>
    <w:next w:val="21"/>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6">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5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8">
    <w:name w:val="其他发布部门"/>
    <w:basedOn w:val="59"/>
    <w:qFormat/>
    <w:uiPriority w:val="0"/>
    <w:pPr>
      <w:framePr w:y="15310"/>
      <w:spacing w:line="0" w:lineRule="atLeast"/>
    </w:pPr>
    <w:rPr>
      <w:rFonts w:ascii="黑体" w:eastAsia="黑体"/>
      <w:b w:val="0"/>
    </w:rPr>
  </w:style>
  <w:style w:type="paragraph" w:customStyle="1" w:styleId="59">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0">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1">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62">
    <w:name w:val="附录表标号"/>
    <w:basedOn w:val="1"/>
    <w:next w:val="21"/>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63">
    <w:name w:val="条文脚注"/>
    <w:basedOn w:val="22"/>
    <w:qFormat/>
    <w:uiPriority w:val="0"/>
    <w:pPr>
      <w:numPr>
        <w:ilvl w:val="0"/>
        <w:numId w:val="0"/>
      </w:numPr>
      <w:jc w:val="both"/>
    </w:pPr>
    <w:rPr>
      <w:rFonts w:ascii="宋体"/>
    </w:rPr>
  </w:style>
  <w:style w:type="paragraph" w:customStyle="1" w:styleId="64">
    <w:name w:val="注：（正文）"/>
    <w:basedOn w:val="41"/>
    <w:next w:val="21"/>
    <w:qFormat/>
    <w:uiPriority w:val="0"/>
  </w:style>
  <w:style w:type="paragraph" w:customStyle="1" w:styleId="65">
    <w:name w:val="二级无"/>
    <w:basedOn w:val="50"/>
    <w:qFormat/>
    <w:uiPriority w:val="0"/>
    <w:pPr>
      <w:spacing w:before="0" w:beforeLines="0" w:after="0" w:afterLines="0"/>
      <w:ind w:left="0" w:firstLine="0"/>
    </w:pPr>
    <w:rPr>
      <w:rFonts w:ascii="宋体" w:eastAsia="宋体"/>
    </w:rPr>
  </w:style>
  <w:style w:type="paragraph" w:customStyle="1" w:styleId="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封面标准文稿类别"/>
    <w:basedOn w:val="70"/>
    <w:qFormat/>
    <w:uiPriority w:val="0"/>
    <w:pPr>
      <w:spacing w:after="160" w:line="240" w:lineRule="auto"/>
    </w:pPr>
    <w:rPr>
      <w:sz w:val="24"/>
    </w:rPr>
  </w:style>
  <w:style w:type="paragraph" w:customStyle="1" w:styleId="70">
    <w:name w:val="封面一致性程度标识"/>
    <w:basedOn w:val="71"/>
    <w:qFormat/>
    <w:uiPriority w:val="0"/>
    <w:pPr>
      <w:spacing w:before="440"/>
    </w:pPr>
    <w:rPr>
      <w:rFonts w:ascii="宋体" w:eastAsia="宋体"/>
    </w:rPr>
  </w:style>
  <w:style w:type="paragraph" w:customStyle="1" w:styleId="71">
    <w:name w:val="封面标准英文名称"/>
    <w:basedOn w:val="72"/>
    <w:qFormat/>
    <w:uiPriority w:val="0"/>
    <w:pPr>
      <w:spacing w:before="370" w:line="400" w:lineRule="exact"/>
    </w:pPr>
    <w:rPr>
      <w:rFonts w:ascii="Times New Roman"/>
      <w:sz w:val="28"/>
      <w:szCs w:val="28"/>
    </w:rPr>
  </w:style>
  <w:style w:type="paragraph" w:customStyle="1" w:styleId="7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4">
    <w:name w:val="附录一级条标题"/>
    <w:basedOn w:val="55"/>
    <w:next w:val="21"/>
    <w:qFormat/>
    <w:uiPriority w:val="0"/>
    <w:pPr>
      <w:numPr>
        <w:ilvl w:val="2"/>
        <w:numId w:val="2"/>
      </w:numPr>
      <w:autoSpaceDN w:val="0"/>
      <w:spacing w:before="50" w:beforeLines="50" w:after="50" w:afterLines="50"/>
      <w:outlineLvl w:val="2"/>
    </w:pPr>
  </w:style>
  <w:style w:type="paragraph" w:customStyle="1" w:styleId="75">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附录二级条标题"/>
    <w:basedOn w:val="1"/>
    <w:next w:val="21"/>
    <w:qFormat/>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0">
    <w:name w:val="五级无"/>
    <w:basedOn w:val="54"/>
    <w:qFormat/>
    <w:uiPriority w:val="0"/>
    <w:pPr>
      <w:spacing w:before="0" w:beforeLines="0" w:after="0" w:afterLines="0"/>
    </w:pPr>
    <w:rPr>
      <w:rFonts w:ascii="宋体" w:eastAsia="宋体"/>
    </w:rPr>
  </w:style>
  <w:style w:type="paragraph" w:customStyle="1" w:styleId="81">
    <w:name w:val="附录四级无"/>
    <w:basedOn w:val="82"/>
    <w:qFormat/>
    <w:uiPriority w:val="0"/>
    <w:pPr>
      <w:tabs>
        <w:tab w:val="left" w:pos="360"/>
      </w:tabs>
      <w:spacing w:before="0" w:beforeLines="0" w:after="0" w:afterLines="0"/>
    </w:pPr>
    <w:rPr>
      <w:rFonts w:ascii="宋体" w:eastAsia="宋体"/>
      <w:szCs w:val="21"/>
    </w:rPr>
  </w:style>
  <w:style w:type="paragraph" w:customStyle="1" w:styleId="82">
    <w:name w:val="附录四级条标题"/>
    <w:basedOn w:val="83"/>
    <w:next w:val="21"/>
    <w:qFormat/>
    <w:uiPriority w:val="0"/>
    <w:pPr>
      <w:numPr>
        <w:ilvl w:val="5"/>
        <w:numId w:val="2"/>
      </w:numPr>
      <w:tabs>
        <w:tab w:val="left" w:pos="360"/>
      </w:tabs>
      <w:outlineLvl w:val="5"/>
    </w:pPr>
  </w:style>
  <w:style w:type="paragraph" w:customStyle="1" w:styleId="83">
    <w:name w:val="附录三级条标题"/>
    <w:basedOn w:val="79"/>
    <w:next w:val="21"/>
    <w:qFormat/>
    <w:uiPriority w:val="0"/>
    <w:pPr>
      <w:numPr>
        <w:ilvl w:val="4"/>
        <w:numId w:val="2"/>
      </w:numPr>
      <w:outlineLvl w:val="4"/>
    </w:pPr>
  </w:style>
  <w:style w:type="paragraph" w:customStyle="1" w:styleId="84">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85">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86">
    <w:name w:val="示例"/>
    <w:next w:val="87"/>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0">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91">
    <w:name w:val="附录五级条标题"/>
    <w:basedOn w:val="82"/>
    <w:next w:val="21"/>
    <w:qFormat/>
    <w:uiPriority w:val="0"/>
    <w:pPr>
      <w:numPr>
        <w:ilvl w:val="6"/>
        <w:numId w:val="2"/>
      </w:numPr>
      <w:outlineLvl w:val="6"/>
    </w:pPr>
  </w:style>
  <w:style w:type="paragraph" w:customStyle="1" w:styleId="92">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示例×："/>
    <w:basedOn w:val="94"/>
    <w:qFormat/>
    <w:uiPriority w:val="0"/>
    <w:pPr>
      <w:numPr>
        <w:ilvl w:val="0"/>
        <w:numId w:val="14"/>
      </w:numPr>
      <w:spacing w:before="0" w:beforeLines="0" w:after="0" w:afterLines="0"/>
      <w:outlineLvl w:val="9"/>
    </w:pPr>
    <w:rPr>
      <w:rFonts w:ascii="宋体" w:eastAsia="宋体"/>
      <w:sz w:val="18"/>
      <w:szCs w:val="18"/>
    </w:rPr>
  </w:style>
  <w:style w:type="paragraph" w:customStyle="1" w:styleId="94">
    <w:name w:val="章标题"/>
    <w:next w:val="21"/>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5">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6">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列项◆（三级）"/>
    <w:basedOn w:val="1"/>
    <w:qFormat/>
    <w:uiPriority w:val="0"/>
    <w:pPr>
      <w:numPr>
        <w:ilvl w:val="2"/>
        <w:numId w:val="6"/>
      </w:numPr>
    </w:pPr>
    <w:rPr>
      <w:rFonts w:ascii="宋体"/>
      <w:szCs w:val="21"/>
    </w:rPr>
  </w:style>
  <w:style w:type="paragraph" w:customStyle="1" w:styleId="99">
    <w:name w:val="附录五级无"/>
    <w:basedOn w:val="91"/>
    <w:qFormat/>
    <w:uiPriority w:val="0"/>
    <w:pPr>
      <w:tabs>
        <w:tab w:val="clear" w:pos="360"/>
      </w:tabs>
      <w:spacing w:before="0" w:beforeLines="0" w:after="0" w:afterLines="0"/>
    </w:pPr>
    <w:rPr>
      <w:rFonts w:ascii="宋体" w:eastAsia="宋体"/>
      <w:szCs w:val="21"/>
    </w:rPr>
  </w:style>
  <w:style w:type="paragraph" w:customStyle="1" w:styleId="100">
    <w:name w:val="附录一级无"/>
    <w:basedOn w:val="74"/>
    <w:qFormat/>
    <w:uiPriority w:val="0"/>
    <w:pPr>
      <w:tabs>
        <w:tab w:val="clear" w:pos="360"/>
      </w:tabs>
      <w:spacing w:before="0" w:beforeLines="0" w:after="0" w:afterLines="0"/>
    </w:pPr>
    <w:rPr>
      <w:rFonts w:ascii="宋体" w:eastAsia="宋体"/>
      <w:szCs w:val="21"/>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图标脚注说明"/>
    <w:basedOn w:val="21"/>
    <w:qFormat/>
    <w:uiPriority w:val="0"/>
    <w:pPr>
      <w:ind w:left="840" w:hanging="420" w:firstLineChars="0"/>
    </w:pPr>
    <w:rPr>
      <w:sz w:val="18"/>
      <w:szCs w:val="18"/>
    </w:rPr>
  </w:style>
  <w:style w:type="paragraph" w:customStyle="1" w:styleId="103">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0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6">
    <w:name w:val="一级无"/>
    <w:basedOn w:val="51"/>
    <w:qFormat/>
    <w:uiPriority w:val="0"/>
    <w:pPr>
      <w:spacing w:before="0" w:beforeLines="0" w:after="0" w:afterLines="0"/>
    </w:pPr>
    <w:rPr>
      <w:rFonts w:ascii="宋体" w:eastAsia="宋体"/>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示例后文字"/>
    <w:basedOn w:val="21"/>
    <w:next w:val="21"/>
    <w:qFormat/>
    <w:uiPriority w:val="0"/>
    <w:pPr>
      <w:ind w:firstLine="360"/>
    </w:pPr>
    <w:rPr>
      <w:sz w:val="18"/>
    </w:rPr>
  </w:style>
  <w:style w:type="paragraph" w:customStyle="1" w:styleId="109">
    <w:name w:val="封面标准文稿编辑信息"/>
    <w:basedOn w:val="69"/>
    <w:qFormat/>
    <w:uiPriority w:val="0"/>
    <w:pPr>
      <w:spacing w:before="180" w:line="180" w:lineRule="exact"/>
    </w:pPr>
    <w:rPr>
      <w:sz w:val="21"/>
    </w:rPr>
  </w:style>
  <w:style w:type="paragraph" w:customStyle="1" w:styleId="110">
    <w:name w:val="附录公式"/>
    <w:basedOn w:val="21"/>
    <w:next w:val="21"/>
    <w:link w:val="134"/>
    <w:qFormat/>
    <w:uiPriority w:val="0"/>
  </w:style>
  <w:style w:type="paragraph" w:customStyle="1" w:styleId="111">
    <w:name w:val="封面正文"/>
    <w:qFormat/>
    <w:uiPriority w:val="0"/>
    <w:pPr>
      <w:jc w:val="both"/>
    </w:pPr>
    <w:rPr>
      <w:rFonts w:ascii="Times New Roman" w:hAnsi="Times New Roman" w:eastAsia="宋体" w:cs="Times New Roman"/>
      <w:lang w:val="en-US" w:eastAsia="zh-CN" w:bidi="ar-SA"/>
    </w:rPr>
  </w:style>
  <w:style w:type="paragraph" w:customStyle="1" w:styleId="112">
    <w:name w:val="附录标题"/>
    <w:basedOn w:val="21"/>
    <w:next w:val="21"/>
    <w:qFormat/>
    <w:uiPriority w:val="0"/>
    <w:pPr>
      <w:ind w:firstLine="0" w:firstLineChars="0"/>
      <w:jc w:val="center"/>
    </w:pPr>
    <w:rPr>
      <w:rFonts w:ascii="黑体" w:eastAsia="黑体"/>
    </w:rPr>
  </w:style>
  <w:style w:type="paragraph" w:customStyle="1" w:styleId="113">
    <w:name w:val="附录表标题"/>
    <w:basedOn w:val="1"/>
    <w:next w:val="21"/>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14">
    <w:name w:val="附录二级无"/>
    <w:basedOn w:val="79"/>
    <w:qFormat/>
    <w:uiPriority w:val="0"/>
    <w:pPr>
      <w:tabs>
        <w:tab w:val="clear" w:pos="360"/>
      </w:tabs>
      <w:spacing w:before="0" w:beforeLines="0" w:after="0" w:afterLines="0"/>
    </w:pPr>
    <w:rPr>
      <w:rFonts w:ascii="宋体" w:eastAsia="宋体"/>
      <w:szCs w:val="21"/>
    </w:rPr>
  </w:style>
  <w:style w:type="paragraph" w:customStyle="1" w:styleId="115">
    <w:name w:val="首示例"/>
    <w:next w:val="21"/>
    <w:link w:val="135"/>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paragraph" w:customStyle="1" w:styleId="116">
    <w:name w:val="附录三级无"/>
    <w:basedOn w:val="83"/>
    <w:qFormat/>
    <w:uiPriority w:val="0"/>
    <w:pPr>
      <w:tabs>
        <w:tab w:val="clear" w:pos="360"/>
      </w:tabs>
      <w:spacing w:before="0" w:beforeLines="0" w:after="0" w:afterLines="0"/>
    </w:pPr>
    <w:rPr>
      <w:rFonts w:ascii="宋体" w:eastAsia="宋体"/>
      <w:szCs w:val="21"/>
    </w:rPr>
  </w:style>
  <w:style w:type="paragraph" w:customStyle="1" w:styleId="117">
    <w:name w:val="三级无"/>
    <w:basedOn w:val="49"/>
    <w:qFormat/>
    <w:uiPriority w:val="0"/>
    <w:pPr>
      <w:spacing w:before="0" w:beforeLines="0" w:after="0" w:afterLines="0"/>
    </w:pPr>
    <w:rPr>
      <w:rFonts w:ascii="宋体" w:eastAsia="宋体"/>
    </w:rPr>
  </w:style>
  <w:style w:type="paragraph" w:customStyle="1" w:styleId="118">
    <w:name w:val="附录图标题"/>
    <w:basedOn w:val="1"/>
    <w:next w:val="21"/>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1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0">
    <w:name w:val="实施日期"/>
    <w:basedOn w:val="105"/>
    <w:qFormat/>
    <w:uiPriority w:val="0"/>
    <w:pPr>
      <w:framePr w:vAnchor="page" w:hAnchor="page"/>
      <w:jc w:val="right"/>
    </w:pPr>
  </w:style>
  <w:style w:type="paragraph" w:customStyle="1" w:styleId="121">
    <w:name w:val="图表脚注说明"/>
    <w:basedOn w:val="1"/>
    <w:qFormat/>
    <w:uiPriority w:val="0"/>
    <w:pPr>
      <w:numPr>
        <w:ilvl w:val="0"/>
        <w:numId w:val="16"/>
      </w:numPr>
    </w:pPr>
    <w:rPr>
      <w:rFonts w:ascii="宋体"/>
      <w:sz w:val="18"/>
      <w:szCs w:val="18"/>
    </w:rPr>
  </w:style>
  <w:style w:type="paragraph" w:customStyle="1" w:styleId="122">
    <w:name w:val="正文公式编号制表符"/>
    <w:basedOn w:val="21"/>
    <w:next w:val="21"/>
    <w:qFormat/>
    <w:uiPriority w:val="0"/>
    <w:pPr>
      <w:ind w:firstLine="0" w:firstLineChars="0"/>
    </w:pPr>
  </w:style>
  <w:style w:type="paragraph" w:customStyle="1" w:styleId="123">
    <w:name w:val="正文图标题"/>
    <w:next w:val="21"/>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4">
    <w:name w:val="终结线"/>
    <w:basedOn w:val="1"/>
    <w:qFormat/>
    <w:uiPriority w:val="0"/>
    <w:pPr>
      <w:framePr w:hSpace="181" w:vSpace="181" w:wrap="around" w:vAnchor="text" w:hAnchor="margin" w:xAlign="center" w:y="285"/>
    </w:pPr>
  </w:style>
  <w:style w:type="paragraph" w:customStyle="1" w:styleId="125">
    <w:name w:val="其他发布日期"/>
    <w:basedOn w:val="105"/>
    <w:qFormat/>
    <w:uiPriority w:val="0"/>
    <w:pPr>
      <w:framePr w:vAnchor="page" w:hAnchor="page" w:x="1419"/>
    </w:pPr>
  </w:style>
  <w:style w:type="paragraph" w:customStyle="1" w:styleId="126">
    <w:name w:val="其他实施日期"/>
    <w:basedOn w:val="120"/>
    <w:qFormat/>
    <w:uiPriority w:val="0"/>
  </w:style>
  <w:style w:type="paragraph" w:customStyle="1" w:styleId="127">
    <w:name w:val="封面标准名称2"/>
    <w:basedOn w:val="72"/>
    <w:qFormat/>
    <w:uiPriority w:val="0"/>
    <w:pPr>
      <w:framePr w:y="4469"/>
      <w:spacing w:before="630" w:beforeLines="630"/>
    </w:pPr>
  </w:style>
  <w:style w:type="paragraph" w:customStyle="1" w:styleId="128">
    <w:name w:val="封面标准英文名称2"/>
    <w:basedOn w:val="71"/>
    <w:qFormat/>
    <w:uiPriority w:val="0"/>
    <w:pPr>
      <w:framePr w:y="4469"/>
    </w:pPr>
  </w:style>
  <w:style w:type="paragraph" w:customStyle="1" w:styleId="129">
    <w:name w:val="封面一致性程度标识2"/>
    <w:basedOn w:val="70"/>
    <w:qFormat/>
    <w:uiPriority w:val="0"/>
    <w:pPr>
      <w:framePr w:y="4469"/>
    </w:pPr>
  </w:style>
  <w:style w:type="paragraph" w:customStyle="1" w:styleId="130">
    <w:name w:val="封面标准文稿类别2"/>
    <w:basedOn w:val="69"/>
    <w:qFormat/>
    <w:uiPriority w:val="0"/>
    <w:pPr>
      <w:framePr w:y="4469"/>
    </w:pPr>
  </w:style>
  <w:style w:type="paragraph" w:customStyle="1" w:styleId="131">
    <w:name w:val="封面标准文稿编辑信息2"/>
    <w:basedOn w:val="109"/>
    <w:qFormat/>
    <w:uiPriority w:val="0"/>
    <w:pPr>
      <w:framePr w:y="4469"/>
    </w:pPr>
  </w:style>
  <w:style w:type="character" w:customStyle="1" w:styleId="132">
    <w:name w:val="段 Char"/>
    <w:basedOn w:val="32"/>
    <w:link w:val="21"/>
    <w:qFormat/>
    <w:uiPriority w:val="0"/>
    <w:rPr>
      <w:rFonts w:ascii="宋体"/>
      <w:sz w:val="21"/>
      <w:lang w:val="en-US" w:eastAsia="zh-CN" w:bidi="ar-SA"/>
    </w:rPr>
  </w:style>
  <w:style w:type="character" w:customStyle="1" w:styleId="133">
    <w:name w:val="发布"/>
    <w:basedOn w:val="32"/>
    <w:qFormat/>
    <w:uiPriority w:val="0"/>
    <w:rPr>
      <w:rFonts w:ascii="黑体" w:eastAsia="黑体"/>
      <w:spacing w:val="85"/>
      <w:w w:val="100"/>
      <w:position w:val="3"/>
      <w:sz w:val="28"/>
      <w:szCs w:val="28"/>
    </w:rPr>
  </w:style>
  <w:style w:type="character" w:customStyle="1" w:styleId="134">
    <w:name w:val="附录公式 Char"/>
    <w:basedOn w:val="132"/>
    <w:link w:val="110"/>
    <w:qFormat/>
    <w:uiPriority w:val="0"/>
  </w:style>
  <w:style w:type="character" w:customStyle="1" w:styleId="135">
    <w:name w:val="首示例 Char"/>
    <w:basedOn w:val="32"/>
    <w:link w:val="115"/>
    <w:qFormat/>
    <w:uiPriority w:val="0"/>
    <w:rPr>
      <w:rFonts w:ascii="宋体" w:hAnsi="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33;&#20840;&#19982;&#39118;&#38505;&#32508;&#21512;&#31649;&#29702;&#20307;&#31995;-&#20869;&#37096;&#30740;&#31350;\TCS&#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TCS格式.dot</Template>
  <Pages>15</Pages>
  <Words>7289</Words>
  <Characters>8070</Characters>
  <Lines>3</Lines>
  <Paragraphs>4</Paragraphs>
  <TotalTime>9</TotalTime>
  <ScaleCrop>false</ScaleCrop>
  <LinksUpToDate>false</LinksUpToDate>
  <CharactersWithSpaces>8471</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2020-12-28T01:51:00Z</dcterms:created>
  <dcterms:modified xsi:type="dcterms:W3CDTF">2021-10-27T06:40:13Z</dcterms:modified>
  <dc:title>标准名称</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02D3307857494DF18A1944D263CAECCA</vt:lpwstr>
  </property>
</Properties>
</file>