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rPr>
          <w:rFonts w:hint="default"/>
          <w:lang w:val="en-US" w:eastAsia="zh-CN"/>
        </w:rPr>
      </w:pPr>
      <w:r>
        <w:rPr>
          <w:rFonts w:hint="eastAsia"/>
          <w:lang w:val="en-US" w:eastAsia="zh-CN"/>
        </w:rPr>
        <w:t>ICS 13.100</w:t>
      </w:r>
    </w:p>
    <w:p>
      <w:pPr>
        <w:pStyle w:val="66"/>
        <w:rPr>
          <w:rFonts w:hint="default"/>
          <w:lang w:val="en-US" w:eastAsia="zh-CN"/>
        </w:rPr>
      </w:pPr>
      <w:r>
        <w:rPr>
          <w:rFonts w:hint="eastAsia"/>
          <w:lang w:val="en-US" w:eastAsia="zh-CN"/>
        </w:rPr>
        <w:t>CCS P 09</w:t>
      </w:r>
    </w:p>
    <w:p>
      <w:pPr>
        <w:pStyle w:val="57"/>
        <w:rPr>
          <w:rFonts w:hint="eastAsia"/>
        </w:rPr>
      </w:pPr>
      <w:r>
        <w:rPr>
          <w:rFonts w:hint="eastAsia"/>
          <w:lang w:val="en-US" w:eastAsia="zh-CN"/>
        </w:rPr>
        <w:t>T</w:t>
      </w:r>
      <w:r>
        <w:t>/</w:t>
      </w:r>
      <w:r>
        <w:rPr>
          <w:rFonts w:hint="eastAsia"/>
          <w:lang w:val="en-US" w:eastAsia="zh-CN"/>
        </w:rPr>
        <w:t>GZX 001</w:t>
      </w:r>
      <w:r>
        <w:rPr>
          <w:rFonts w:hint="eastAsia"/>
        </w:rPr>
        <w:t>-202</w:t>
      </w:r>
      <w:r>
        <w:rPr>
          <w:rFonts w:hint="eastAsia"/>
          <w:lang w:val="en-US" w:eastAsia="zh-CN"/>
        </w:rPr>
        <w:t>1</w:t>
      </w:r>
    </w:p>
    <w:p>
      <w:pPr>
        <w:pStyle w:val="57"/>
        <w:rPr>
          <w:rFonts w:hAnsi="黑体"/>
        </w:rPr>
      </w:pPr>
    </w:p>
    <w:p>
      <w:pPr>
        <w:pStyle w:val="72"/>
        <w:rPr>
          <w:rFonts w:hint="eastAsia"/>
          <w:sz w:val="44"/>
          <w:szCs w:val="44"/>
          <w:lang w:val="en-US" w:eastAsia="zh-CN"/>
        </w:rPr>
      </w:pPr>
      <w:bookmarkStart w:id="0" w:name="StdName"/>
      <w:r>
        <w:rPr>
          <w:rFonts w:hint="eastAsia"/>
          <w:sz w:val="44"/>
          <w:szCs w:val="44"/>
          <w:lang w:val="en-US" w:eastAsia="zh-CN"/>
        </w:rPr>
        <w:t>安全与风险综合</w:t>
      </w:r>
      <w:r>
        <w:rPr>
          <w:rFonts w:hint="eastAsia"/>
          <w:sz w:val="44"/>
          <w:szCs w:val="44"/>
        </w:rPr>
        <w:t>管理</w:t>
      </w:r>
      <w:r>
        <w:rPr>
          <w:rFonts w:hint="eastAsia"/>
          <w:sz w:val="44"/>
          <w:szCs w:val="44"/>
          <w:lang w:val="en-US" w:eastAsia="zh-CN"/>
        </w:rPr>
        <w:t>体系</w:t>
      </w:r>
      <w:bookmarkEnd w:id="0"/>
    </w:p>
    <w:p>
      <w:pPr>
        <w:pStyle w:val="72"/>
        <w:rPr>
          <w:rFonts w:hint="default"/>
          <w:sz w:val="32"/>
          <w:szCs w:val="32"/>
          <w:lang w:val="en-US" w:eastAsia="zh-CN"/>
        </w:rPr>
      </w:pPr>
      <w:r>
        <w:rPr>
          <w:rFonts w:hint="default"/>
          <w:sz w:val="32"/>
          <w:szCs w:val="32"/>
          <w:lang w:val="en-US" w:eastAsia="zh-CN"/>
        </w:rPr>
        <w:t>Safety and risk integrated management system</w:t>
      </w:r>
      <w:r>
        <w:rPr>
          <w:rFonts w:hint="eastAsia"/>
          <w:sz w:val="32"/>
          <w:szCs w:val="32"/>
          <w:lang w:val="en-US" w:eastAsia="zh-CN"/>
        </w:rPr>
        <w:t>s</w:t>
      </w:r>
    </w:p>
    <w:p>
      <w:pPr>
        <w:pStyle w:val="71"/>
      </w:pPr>
    </w:p>
    <w:p>
      <w:pPr>
        <w:pStyle w:val="70"/>
      </w:pP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69"/>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AWJrpLVAAAACgEAAA8AAAAAAAAAAQAgAAAAIgAAAGRycy9k&#10;b3ducmV2LnhtbFBLAQIUABQAAAAIAIdO4kDburpZkwEAABEDAAAOAAAAAAAAAAEAIAAAACQBAABk&#10;cnMvZTJvRG9jLnhtbFBLBQYAAAAABgAGAFkBAAAp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 name="矩形 1"/>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APhi+XWAAAACQEAAA8AAAAAAAAAAQAgAAAAIgAAAGRycy9k&#10;b3ducmV2LnhtbFBLAQIUABQAAAAIAIdO4kB8vayZkgEAABEDAAAOAAAAAAAAAAEAIAAAACUBAABk&#10;cnMvZTJvRG9jLnhtbFBLBQYAAAAABgAGAFkBAAApBQ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09"/>
            </w:pPr>
          </w:p>
        </w:tc>
      </w:tr>
    </w:tbl>
    <w:p>
      <w:pPr>
        <w:pStyle w:val="125"/>
      </w:pPr>
      <w:r>
        <w:rPr>
          <w:rFonts w:hint="eastAsia" w:ascii="黑体"/>
          <w:lang w:val="en-US" w:eastAsia="zh-CN"/>
        </w:rPr>
        <w:t>2021</w:t>
      </w:r>
      <w:r>
        <w:t xml:space="preserve"> </w:t>
      </w:r>
      <w:r>
        <w:rPr>
          <w:rFonts w:ascii="黑体"/>
        </w:rPr>
        <w:t>-</w:t>
      </w:r>
      <w:r>
        <w:t xml:space="preserve"> </w:t>
      </w:r>
      <w:r>
        <w:rPr>
          <w:rFonts w:hint="eastAsia" w:ascii="黑体"/>
          <w:lang w:val="en-US" w:eastAsia="zh-CN"/>
        </w:rPr>
        <w:t>10</w:t>
      </w:r>
      <w:r>
        <w:t xml:space="preserve"> </w:t>
      </w:r>
      <w:r>
        <w:rPr>
          <w:rFonts w:ascii="黑体"/>
        </w:rPr>
        <w:t>-</w:t>
      </w:r>
      <w:r>
        <w:t xml:space="preserve"> </w:t>
      </w:r>
      <w:r>
        <w:rPr>
          <w:rFonts w:hint="eastAsia" w:ascii="黑体"/>
          <w:lang w:val="en-US" w:eastAsia="zh-CN"/>
        </w:rPr>
        <w:t>30</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YdrPNYAAAALAQAADwAAAAAAAAAB&#10;ACAAAAAiAAAAZHJzL2Rvd25yZXYueG1sUEsBAhQAFAAAAAgAh07iQIiPmvbZAQAAlgMAAA4AAAAA&#10;AAAAAQAgAAAAJQEAAGRycy9lMm9Eb2MueG1sUEsFBgAAAAAGAAYAWQEAAHAFAAAAAA==&#10;">
                <v:fill on="f" focussize="0,0"/>
                <v:stroke color="#000000" joinstyle="round"/>
                <v:imagedata o:title=""/>
                <o:lock v:ext="edit" aspectratio="f"/>
                <w10:anchorlock/>
              </v:line>
            </w:pict>
          </mc:Fallback>
        </mc:AlternateContent>
      </w:r>
    </w:p>
    <w:p>
      <w:pPr>
        <w:pStyle w:val="126"/>
        <w:rPr>
          <w:rFonts w:hint="eastAsia" w:ascii="黑体" w:hAnsi="黑体" w:eastAsia="黑体" w:cs="黑体"/>
        </w:rPr>
      </w:pPr>
      <w:r>
        <w:rPr>
          <w:rFonts w:hint="eastAsia" w:ascii="黑体"/>
          <w:lang w:val="en-US" w:eastAsia="zh-CN"/>
        </w:rPr>
        <w:t>2021</w:t>
      </w:r>
      <w:r>
        <w:t xml:space="preserve"> </w:t>
      </w:r>
      <w:r>
        <w:rPr>
          <w:rFonts w:ascii="黑体"/>
        </w:rPr>
        <w:t>-</w:t>
      </w:r>
      <w:r>
        <w:t xml:space="preserve"> </w:t>
      </w:r>
      <w:r>
        <w:rPr>
          <w:rFonts w:hint="eastAsia" w:ascii="黑体"/>
          <w:lang w:val="en-US" w:eastAsia="zh-CN"/>
        </w:rPr>
        <w:t>10</w:t>
      </w:r>
      <w:r>
        <w:t xml:space="preserve"> </w:t>
      </w:r>
      <w:r>
        <w:rPr>
          <w:rFonts w:ascii="黑体"/>
        </w:rPr>
        <w:t>-</w:t>
      </w:r>
      <w:r>
        <w:t xml:space="preserve"> </w:t>
      </w:r>
      <w:r>
        <w:rPr>
          <w:rFonts w:hint="eastAsia" w:ascii="黑体"/>
          <w:lang w:val="en-US" w:eastAsia="zh-CN"/>
        </w:rPr>
        <w:t>30</w:t>
      </w:r>
      <w:r>
        <w:rPr>
          <w:rFonts w:hint="eastAsia" w:ascii="黑体" w:hAnsi="黑体" w:eastAsia="黑体" w:cs="黑体"/>
        </w:rPr>
        <w:t>实施</w:t>
      </w:r>
    </w:p>
    <w:p>
      <w:pPr>
        <w:pStyle w:val="58"/>
        <w:framePr w:w="8975" w:x="1604"/>
        <w:ind w:left="980" w:hanging="560"/>
        <w:rPr>
          <w:sz w:val="24"/>
        </w:rPr>
      </w:pPr>
      <w:bookmarkStart w:id="1" w:name="fm"/>
      <w:r>
        <w:rPr>
          <w:rFonts w:hint="default"/>
          <w:w w:val="100"/>
          <w:szCs w:val="28"/>
          <w:lang w:val="en-US"/>
        </w:rPr>
        <mc:AlternateContent>
          <mc:Choice Requires="wps">
            <w:drawing>
              <wp:anchor distT="0" distB="0" distL="114300" distR="114300" simplePos="0" relativeHeight="251666432"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矩形 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2.55pt;margin-top:-310.45pt;height:24pt;width:100pt;z-index:-251650048;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5te7W2QAAAA0BAAAPAAAAAAAAAAEAIAAAACIAAABk&#10;cnMvZG93bnJldi54bWxQSwECFAAUAAAACACHTuJAf9b2rJMBAAARAwAADgAAAAAAAAABACAAAAAo&#10;AQAAZHJzL2Uyb0RvYy54bWxQSwUGAAAAAAYABgBZAQAALQUAAAAA&#10;">
                <v:fill on="t" focussize="0,0"/>
                <v:stroke on="f"/>
                <v:imagedata o:title=""/>
                <o:lock v:ext="edit" aspectratio="f"/>
              </v:rect>
            </w:pict>
          </mc:Fallback>
        </mc:AlternateContent>
      </w:r>
      <w:r>
        <w:rPr>
          <w:rFonts w:hint="default"/>
          <w:w w:val="100"/>
          <w:szCs w:val="28"/>
          <w:lang w:val="en-US"/>
        </w:rPr>
        <mc:AlternateContent>
          <mc:Choice Requires="wps">
            <w:drawing>
              <wp:anchor distT="0" distB="0" distL="114300" distR="114300" simplePos="0" relativeHeight="25166540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47.55pt;margin-top:-585.45pt;height:18pt;width:90pt;z-index:-25165107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JihHaAAAADwEAAA8AAAAAAAAAAQAgAAAAIgAA&#10;AGRycy9kb3ducmV2LnhtbFBLAQIUABQAAAAIAIdO4kBragKilAEAABEDAAAOAAAAAAAAAAEAIAAA&#10;ACkBAABkcnMvZTJvRG9jLnhtbFBLBQYAAAAABgAGAFkBAAAvBQAAAAA=&#10;">
                <v:fill on="t" focussize="0,0"/>
                <v:stroke on="f"/>
                <v:imagedata o:title=""/>
                <o:lock v:ext="edit" aspectratio="f"/>
              </v:rect>
            </w:pict>
          </mc:Fallback>
        </mc:AlternateContent>
      </w:r>
      <w:r>
        <w:rPr>
          <w:rFonts w:hint="default"/>
          <w:w w:val="100"/>
          <w:szCs w:val="28"/>
          <w:lang w:val="en-US"/>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6pt;margin-top:-552.85pt;height:0pt;width:481.9pt;z-index:25166438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7JZGg2AAAAA8BAAAPAAAAAAAA&#10;AAEAIAAAACIAAABkcnMvZG93bnJldi54bWxQSwECFAAUAAAACACHTuJAnE4e9dkBAACWAwAADgAA&#10;AAAAAAABACAAAAAnAQAAZHJzL2Uyb0RvYy54bWxQSwUGAAAAAAYABgBZAQAAcgUAAAAA&#10;">
                <v:fill on="f" focussize="0,0"/>
                <v:stroke color="#000000" joinstyle="round"/>
                <v:imagedata o:title=""/>
                <o:lock v:ext="edit" aspectratio="f"/>
              </v:line>
            </w:pict>
          </mc:Fallback>
        </mc:AlternateContent>
      </w:r>
      <w:bookmarkEnd w:id="1"/>
      <w:r>
        <w:rPr>
          <w:rFonts w:hint="eastAsia"/>
          <w:w w:val="100"/>
          <w:szCs w:val="28"/>
          <w:lang w:val="en-US" w:eastAsia="zh-CN"/>
        </w:rPr>
        <w:t>广东省企业管理咨询协会</w:t>
      </w:r>
      <w:r>
        <w:rPr>
          <w:rFonts w:hint="eastAsia" w:ascii="MS Mincho" w:hAnsi="MS Mincho" w:eastAsia="MS Mincho" w:cs="MS Mincho"/>
          <w:sz w:val="24"/>
        </w:rPr>
        <w:t>  </w:t>
      </w:r>
      <w:r>
        <w:rPr>
          <w:rStyle w:val="133"/>
          <w:rFonts w:hint="eastAsia"/>
          <w:sz w:val="24"/>
        </w:rPr>
        <w:t>发布</w:t>
      </w:r>
    </w:p>
    <w:p>
      <w:pPr>
        <w:pStyle w:val="21"/>
        <w:rPr>
          <w:rFonts w:hint="eastAsia" w:ascii="黑体" w:hAnsi="黑体" w:eastAsia="黑体" w:cs="黑体"/>
          <w:sz w:val="84"/>
          <w:szCs w:val="84"/>
          <w:lang w:val="en-US"/>
        </w:rPr>
        <w:sectPr>
          <w:headerReference r:id="rId3" w:type="even"/>
          <w:footerReference r:id="rId4" w:type="even"/>
          <w:pgSz w:w="11906" w:h="16838"/>
          <w:pgMar w:top="567" w:right="1134" w:bottom="1134" w:left="1417" w:header="0" w:footer="0" w:gutter="0"/>
          <w:pgNumType w:fmt="upperRoman" w:start="1"/>
          <w:cols w:space="720" w:num="1"/>
          <w:docGrid w:type="lines" w:linePitch="312" w:charSpace="0"/>
        </w:sectPr>
      </w:pPr>
      <w:r>
        <w:rPr>
          <w:rFonts w:hint="eastAsia" w:ascii="黑体" w:hAnsi="黑体" w:eastAsia="黑体" w:cs="黑体"/>
          <w:sz w:val="84"/>
          <w:szCs w:val="84"/>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JB4l/XAAAACQEAAA8AAAAAAAAA&#10;AQAgAAAAIgAAAGRycy9kb3ducmV2LnhtbFBLAQIUABQAAAAIAIdO4kCNJXqY2QEAAJYDAAAOAAAA&#10;AAAAAAEAIAAAACYBAABkcnMvZTJvRG9jLnhtbFBLBQYAAAAABgAGAFkBAABxBQAAAAA=&#10;">
                <v:fill on="f" focussize="0,0"/>
                <v:stroke color="#000000" joinstyle="round"/>
                <v:imagedata o:title=""/>
                <o:lock v:ext="edit" aspectratio="f"/>
              </v:line>
            </w:pict>
          </mc:Fallback>
        </mc:AlternateContent>
      </w:r>
      <w:r>
        <w:rPr>
          <w:rFonts w:hint="eastAsia" w:ascii="黑体" w:hAnsi="黑体" w:eastAsia="黑体" w:cs="黑体"/>
          <w:sz w:val="84"/>
          <w:szCs w:val="84"/>
          <w:lang w:val="en-US" w:eastAsia="zh-CN"/>
        </w:rPr>
        <w:t>团  体  标  准</w:t>
      </w:r>
    </w:p>
    <w:p>
      <w:pPr>
        <w:pStyle w:val="96"/>
        <w:rPr>
          <w:rFonts w:hint="eastAsia"/>
        </w:rPr>
      </w:pPr>
      <w:bookmarkStart w:id="2" w:name="_Toc447200635"/>
      <w:bookmarkStart w:id="3" w:name="_Toc452740252"/>
      <w:bookmarkStart w:id="4" w:name="_Toc447200757"/>
      <w:bookmarkStart w:id="5" w:name="_Toc451938564"/>
      <w:bookmarkStart w:id="6" w:name="_Toc451955871"/>
      <w:r>
        <w:rPr>
          <w:rFonts w:hint="eastAsia"/>
        </w:rPr>
        <w:t>目</w:t>
      </w:r>
      <w:bookmarkStart w:id="7" w:name="BKML"/>
      <w:r>
        <w:rPr>
          <w:rFonts w:hAnsi="黑体"/>
        </w:rPr>
        <w:t>  </w:t>
      </w:r>
      <w:r>
        <w:rPr>
          <w:rFonts w:hint="eastAsia"/>
        </w:rPr>
        <w:t>次</w:t>
      </w:r>
      <w:bookmarkEnd w:id="7"/>
    </w:p>
    <w:p>
      <w:pPr>
        <w:pStyle w:val="17"/>
        <w:tabs>
          <w:tab w:val="right" w:leader="dot" w:pos="9354"/>
          <w:tab w:val="clear" w:pos="9242"/>
        </w:tabs>
      </w:pPr>
      <w:r>
        <w:rPr>
          <w:rFonts w:hint="default"/>
          <w:lang w:val="en-US"/>
        </w:rPr>
        <w:fldChar w:fldCharType="begin"/>
      </w:r>
      <w:r>
        <w:rPr>
          <w:rFonts w:hint="default"/>
          <w:lang w:val="en-US"/>
        </w:rPr>
        <w:instrText xml:space="preserve"> TOC \h \z \t"前言、引言标题,1,参考文献、索引标题,1,章标题,1,参考文献,1,附录标识,1,一级条标题, 3,附录章标题, 3" \* MERGEFORMAT </w:instrText>
      </w:r>
      <w:r>
        <w:rPr>
          <w:rFonts w:hint="default"/>
          <w:lang w:val="en-US"/>
        </w:rPr>
        <w:fldChar w:fldCharType="separate"/>
      </w:r>
      <w:r>
        <w:rPr>
          <w:rFonts w:hint="default"/>
          <w:lang w:val="en-US"/>
        </w:rPr>
        <w:fldChar w:fldCharType="begin"/>
      </w:r>
      <w:r>
        <w:rPr>
          <w:rFonts w:hint="default"/>
          <w:lang w:val="en-US"/>
        </w:rPr>
        <w:instrText xml:space="preserve"> HYPERLINK \l _Toc20710 </w:instrText>
      </w:r>
      <w:r>
        <w:rPr>
          <w:rFonts w:hint="default"/>
          <w:lang w:val="en-US"/>
        </w:rPr>
        <w:fldChar w:fldCharType="separate"/>
      </w:r>
      <w:r>
        <w:rPr>
          <w:rFonts w:hint="eastAsia"/>
        </w:rPr>
        <w:t>前</w:t>
      </w:r>
      <w:r>
        <w:rPr>
          <w:rFonts w:hAnsi="黑体"/>
        </w:rPr>
        <w:t>  </w:t>
      </w:r>
      <w:r>
        <w:rPr>
          <w:rFonts w:hint="eastAsia"/>
        </w:rPr>
        <w:t>言</w:t>
      </w:r>
      <w:r>
        <w:tab/>
      </w:r>
      <w:r>
        <w:fldChar w:fldCharType="begin"/>
      </w:r>
      <w:r>
        <w:instrText xml:space="preserve"> PAGEREF _Toc20710 </w:instrText>
      </w:r>
      <w:r>
        <w:fldChar w:fldCharType="separate"/>
      </w:r>
      <w:r>
        <w:t>V</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_Toc26911 </w:instrText>
      </w:r>
      <w:r>
        <w:rPr>
          <w:rFonts w:hint="default"/>
          <w:lang w:val="en-US"/>
        </w:rPr>
        <w:fldChar w:fldCharType="separate"/>
      </w:r>
      <w:r>
        <w:rPr>
          <w:rFonts w:hint="eastAsia"/>
          <w:lang w:val="en-US" w:eastAsia="zh-CN"/>
        </w:rPr>
        <w:t>引</w:t>
      </w:r>
      <w:r>
        <w:rPr>
          <w:rFonts w:hAnsi="黑体"/>
        </w:rPr>
        <w:t>  </w:t>
      </w:r>
      <w:r>
        <w:rPr>
          <w:rFonts w:hint="eastAsia"/>
        </w:rPr>
        <w:t>言</w:t>
      </w:r>
      <w:r>
        <w:tab/>
      </w:r>
      <w:r>
        <w:fldChar w:fldCharType="begin"/>
      </w:r>
      <w:r>
        <w:instrText xml:space="preserve"> PAGEREF _Toc26911 </w:instrText>
      </w:r>
      <w:r>
        <w:fldChar w:fldCharType="separate"/>
      </w:r>
      <w:r>
        <w:t>VI</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_Toc15448 </w:instrText>
      </w:r>
      <w:r>
        <w:rPr>
          <w:rFonts w:hint="default"/>
          <w:lang w:val="en-US"/>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_Toc15448 </w:instrText>
      </w:r>
      <w:r>
        <w:fldChar w:fldCharType="separate"/>
      </w:r>
      <w:r>
        <w:t>7</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_Toc10419 </w:instrText>
      </w:r>
      <w:r>
        <w:rPr>
          <w:rFonts w:hint="default"/>
          <w:lang w:val="en-US"/>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_Toc10419 </w:instrText>
      </w:r>
      <w:r>
        <w:fldChar w:fldCharType="separate"/>
      </w:r>
      <w:r>
        <w:t>7</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_Toc17529 </w:instrText>
      </w:r>
      <w:r>
        <w:rPr>
          <w:rFonts w:hint="default"/>
          <w:lang w:val="en-US"/>
        </w:rPr>
        <w:fldChar w:fldCharType="separate"/>
      </w:r>
      <w:r>
        <w:rPr>
          <w:rFonts w:hint="eastAsia" w:ascii="黑体" w:hAnsi="Times New Roman" w:eastAsia="黑体"/>
          <w:i w:val="0"/>
          <w:szCs w:val="21"/>
        </w:rPr>
        <w:t xml:space="preserve">3 </w:t>
      </w:r>
      <w:r>
        <w:rPr>
          <w:rFonts w:hint="eastAsia"/>
          <w:lang w:val="en-US" w:eastAsia="zh-CN"/>
        </w:rPr>
        <w:t>术语和定义</w:t>
      </w:r>
      <w:r>
        <w:tab/>
      </w:r>
      <w:r>
        <w:fldChar w:fldCharType="begin"/>
      </w:r>
      <w:r>
        <w:instrText xml:space="preserve"> PAGEREF _Toc17529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_Toc21967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3.1 </w:t>
      </w:r>
      <w:r>
        <w:rPr>
          <w:rFonts w:hint="eastAsia"/>
          <w:lang w:val="en-US" w:eastAsia="zh-CN"/>
        </w:rPr>
        <w:t>安全与风险综合管理体系</w:t>
      </w:r>
      <w:r>
        <w:tab/>
      </w:r>
      <w:r>
        <w:fldChar w:fldCharType="begin"/>
      </w:r>
      <w:r>
        <w:instrText xml:space="preserve"> PAGEREF _Toc21967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_Toc7750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3.2 </w:t>
      </w:r>
      <w:r>
        <w:rPr>
          <w:rFonts w:hint="eastAsia"/>
          <w:lang w:val="en-US" w:eastAsia="zh-CN"/>
        </w:rPr>
        <w:t>合规义务</w:t>
      </w:r>
      <w:r>
        <w:tab/>
      </w:r>
      <w:r>
        <w:fldChar w:fldCharType="begin"/>
      </w:r>
      <w:r>
        <w:instrText xml:space="preserve"> PAGEREF _Toc7750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_Toc4138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3.3 </w:t>
      </w:r>
      <w:r>
        <w:rPr>
          <w:rFonts w:hint="eastAsia"/>
          <w:lang w:val="en-US" w:eastAsia="zh-CN"/>
        </w:rPr>
        <w:t>成文信息</w:t>
      </w:r>
      <w:r>
        <w:tab/>
      </w:r>
      <w:r>
        <w:fldChar w:fldCharType="begin"/>
      </w:r>
      <w:r>
        <w:instrText xml:space="preserve"> PAGEREF _Toc4138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_Toc22170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3.4 </w:t>
      </w:r>
      <w:r>
        <w:rPr>
          <w:rFonts w:hint="eastAsia"/>
          <w:lang w:val="en-US" w:eastAsia="zh-CN"/>
        </w:rPr>
        <w:t>风险</w:t>
      </w:r>
      <w:r>
        <w:tab/>
      </w:r>
      <w:r>
        <w:fldChar w:fldCharType="begin"/>
      </w:r>
      <w:r>
        <w:instrText xml:space="preserve"> PAGEREF _Toc22170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_Toc29990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3.5 </w:t>
      </w:r>
      <w:r>
        <w:rPr>
          <w:rFonts w:hint="eastAsia"/>
          <w:lang w:val="en-US" w:eastAsia="zh-CN"/>
        </w:rPr>
        <w:t>风险和机遇</w:t>
      </w:r>
      <w:r>
        <w:tab/>
      </w:r>
      <w:r>
        <w:fldChar w:fldCharType="begin"/>
      </w:r>
      <w:r>
        <w:instrText xml:space="preserve"> PAGEREF _Toc29990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_Toc12636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3.6 </w:t>
      </w:r>
      <w:r>
        <w:rPr>
          <w:rFonts w:hint="eastAsia"/>
          <w:lang w:val="en-US" w:eastAsia="zh-CN"/>
        </w:rPr>
        <w:t>物项</w:t>
      </w:r>
      <w:r>
        <w:tab/>
      </w:r>
      <w:r>
        <w:fldChar w:fldCharType="begin"/>
      </w:r>
      <w:r>
        <w:instrText xml:space="preserve"> PAGEREF _Toc12636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_Toc11483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3.7 </w:t>
      </w:r>
      <w:r>
        <w:rPr>
          <w:rFonts w:hint="eastAsia"/>
          <w:highlight w:val="none"/>
          <w:lang w:val="en-US" w:eastAsia="zh-CN"/>
        </w:rPr>
        <w:t>施工机具</w:t>
      </w:r>
      <w:r>
        <w:tab/>
      </w:r>
      <w:r>
        <w:fldChar w:fldCharType="begin"/>
      </w:r>
      <w:r>
        <w:instrText xml:space="preserve"> PAGEREF _Toc11483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_Toc746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3.8 </w:t>
      </w:r>
      <w:r>
        <w:rPr>
          <w:rFonts w:hint="eastAsia"/>
          <w:highlight w:val="none"/>
          <w:lang w:val="en-US" w:eastAsia="zh-CN"/>
        </w:rPr>
        <w:t>危害因素</w:t>
      </w:r>
      <w:r>
        <w:tab/>
      </w:r>
      <w:r>
        <w:fldChar w:fldCharType="begin"/>
      </w:r>
      <w:r>
        <w:instrText xml:space="preserve"> PAGEREF _Toc746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_Toc23625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3.9 </w:t>
      </w:r>
      <w:r>
        <w:rPr>
          <w:rFonts w:hint="eastAsia"/>
          <w:highlight w:val="none"/>
          <w:lang w:val="en-US" w:eastAsia="zh-CN"/>
        </w:rPr>
        <w:t>风险分级管控</w:t>
      </w:r>
      <w:r>
        <w:tab/>
      </w:r>
      <w:r>
        <w:fldChar w:fldCharType="begin"/>
      </w:r>
      <w:r>
        <w:instrText xml:space="preserve"> PAGEREF _Toc23625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_Toc24052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3.10 </w:t>
      </w:r>
      <w:r>
        <w:rPr>
          <w:rFonts w:hint="eastAsia"/>
          <w:lang w:val="en-US" w:eastAsia="zh-CN"/>
        </w:rPr>
        <w:t>安全生产事故隐患</w:t>
      </w:r>
      <w:r>
        <w:tab/>
      </w:r>
      <w:r>
        <w:fldChar w:fldCharType="begin"/>
      </w:r>
      <w:r>
        <w:instrText xml:space="preserve"> PAGEREF _Toc24052 </w:instrText>
      </w:r>
      <w:r>
        <w:fldChar w:fldCharType="separate"/>
      </w:r>
      <w:r>
        <w:t>8</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_Toc3660 </w:instrText>
      </w:r>
      <w:r>
        <w:rPr>
          <w:rFonts w:hint="default"/>
          <w:lang w:val="en-US"/>
        </w:rPr>
        <w:fldChar w:fldCharType="separate"/>
      </w:r>
      <w:r>
        <w:rPr>
          <w:rFonts w:hint="eastAsia" w:ascii="黑体" w:hAnsi="Times New Roman" w:eastAsia="黑体"/>
          <w:i w:val="0"/>
          <w:szCs w:val="21"/>
          <w:lang w:val="en-US" w:eastAsia="zh-CN"/>
        </w:rPr>
        <w:t xml:space="preserve">4 </w:t>
      </w:r>
      <w:r>
        <w:rPr>
          <w:rFonts w:hint="eastAsia"/>
          <w:szCs w:val="22"/>
          <w:lang w:val="en-US" w:eastAsia="zh-CN"/>
        </w:rPr>
        <w:t>基本规定</w:t>
      </w:r>
      <w:r>
        <w:tab/>
      </w:r>
      <w:r>
        <w:fldChar w:fldCharType="begin"/>
      </w:r>
      <w:r>
        <w:instrText xml:space="preserve"> PAGEREF _Toc3660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4.1 </w:t>
      </w:r>
      <w:r>
        <w:rPr>
          <w:rFonts w:hint="eastAsia"/>
        </w:rPr>
        <w:t>安全与风险</w:t>
      </w:r>
      <w:r>
        <w:rPr>
          <w:rFonts w:hint="eastAsia"/>
          <w:lang w:val="en-US" w:eastAsia="zh-CN"/>
        </w:rPr>
        <w:t>方针</w:t>
      </w:r>
      <w:r>
        <w:tab/>
      </w:r>
      <w:r>
        <w:fldChar w:fldCharType="begin"/>
      </w:r>
      <w:r>
        <w:instrText xml:space="preserve"> PAGEREF _Toc299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_Toc28938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4.2 </w:t>
      </w:r>
      <w:r>
        <w:rPr>
          <w:rFonts w:hint="eastAsia"/>
        </w:rPr>
        <w:t>安全与风险</w:t>
      </w:r>
      <w:r>
        <w:rPr>
          <w:rFonts w:hint="eastAsia"/>
          <w:lang w:val="en-US" w:eastAsia="zh-CN"/>
        </w:rPr>
        <w:t>目标指标</w:t>
      </w:r>
      <w:r>
        <w:tab/>
      </w:r>
      <w:r>
        <w:fldChar w:fldCharType="begin"/>
      </w:r>
      <w:r>
        <w:instrText xml:space="preserve"> PAGEREF _Toc28938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_Toc2925 </w:instrText>
      </w:r>
      <w:r>
        <w:rPr>
          <w:rFonts w:hint="default"/>
          <w:lang w:val="en-US"/>
        </w:rPr>
        <w:fldChar w:fldCharType="separate"/>
      </w:r>
      <w:r>
        <w:rPr>
          <w:rFonts w:hint="eastAsia"/>
          <w:lang w:val="en-US" w:eastAsia="zh-CN"/>
        </w:rPr>
        <w:t>4.2.1设立</w:t>
      </w:r>
      <w:r>
        <w:tab/>
      </w:r>
      <w:r>
        <w:fldChar w:fldCharType="begin"/>
      </w:r>
      <w:r>
        <w:instrText xml:space="preserve"> PAGEREF _Toc2925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_Toc29678 </w:instrText>
      </w:r>
      <w:r>
        <w:rPr>
          <w:rFonts w:hint="default"/>
          <w:lang w:val="en-US"/>
        </w:rPr>
        <w:fldChar w:fldCharType="separate"/>
      </w:r>
      <w:r>
        <w:rPr>
          <w:rFonts w:hint="eastAsia"/>
          <w:lang w:val="en-US" w:eastAsia="zh-CN"/>
        </w:rPr>
        <w:t>4.2.2实现</w:t>
      </w:r>
      <w:r>
        <w:tab/>
      </w:r>
      <w:r>
        <w:fldChar w:fldCharType="begin"/>
      </w:r>
      <w:r>
        <w:instrText xml:space="preserve"> PAGEREF _Toc29678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_Toc29276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4.3 </w:t>
      </w:r>
      <w:r>
        <w:rPr>
          <w:rFonts w:hint="eastAsia"/>
          <w:lang w:val="en-US" w:eastAsia="zh-CN"/>
        </w:rPr>
        <w:t>合规申明</w:t>
      </w:r>
      <w:r>
        <w:tab/>
      </w:r>
      <w:r>
        <w:fldChar w:fldCharType="begin"/>
      </w:r>
      <w:r>
        <w:instrText xml:space="preserve"> PAGEREF _Toc29276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_Toc29300 </w:instrText>
      </w:r>
      <w:r>
        <w:rPr>
          <w:rFonts w:hint="default"/>
          <w:lang w:val="en-US"/>
        </w:rPr>
        <w:fldChar w:fldCharType="separate"/>
      </w:r>
      <w:r>
        <w:rPr>
          <w:rFonts w:hint="eastAsia"/>
          <w:lang w:val="en-US" w:eastAsia="zh-CN"/>
        </w:rPr>
        <w:t>4.3.1合规义务</w:t>
      </w:r>
      <w:r>
        <w:tab/>
      </w:r>
      <w:r>
        <w:fldChar w:fldCharType="begin"/>
      </w:r>
      <w:r>
        <w:instrText xml:space="preserve"> PAGEREF _Toc29300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_Toc22132 </w:instrText>
      </w:r>
      <w:r>
        <w:rPr>
          <w:rFonts w:hint="default"/>
          <w:lang w:val="en-US"/>
        </w:rPr>
        <w:fldChar w:fldCharType="separate"/>
      </w:r>
      <w:r>
        <w:rPr>
          <w:rFonts w:hint="eastAsia"/>
          <w:lang w:val="en-US" w:eastAsia="zh-CN"/>
        </w:rPr>
        <w:t>4.3.2合规性评价</w:t>
      </w:r>
      <w:r>
        <w:tab/>
      </w:r>
      <w:r>
        <w:fldChar w:fldCharType="begin"/>
      </w:r>
      <w:r>
        <w:instrText xml:space="preserve"> PAGEREF _Toc22132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_Toc14925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4.4 </w:t>
      </w:r>
      <w:r>
        <w:rPr>
          <w:rFonts w:hint="eastAsia"/>
          <w:lang w:val="en-US" w:eastAsia="zh-CN"/>
        </w:rPr>
        <w:t>管理体系建立与运行</w:t>
      </w:r>
      <w:r>
        <w:tab/>
      </w:r>
      <w:r>
        <w:fldChar w:fldCharType="begin"/>
      </w:r>
      <w:r>
        <w:instrText xml:space="preserve"> PAGEREF _Toc14925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_Toc26917 </w:instrText>
      </w:r>
      <w:r>
        <w:rPr>
          <w:rFonts w:hint="default"/>
          <w:lang w:val="en-US"/>
        </w:rPr>
        <w:fldChar w:fldCharType="separate"/>
      </w:r>
      <w:r>
        <w:rPr>
          <w:rFonts w:hint="eastAsia"/>
          <w:lang w:val="en-US" w:eastAsia="zh-CN"/>
        </w:rPr>
        <w:t>4.4.1环境分析</w:t>
      </w:r>
      <w:r>
        <w:tab/>
      </w:r>
      <w:r>
        <w:fldChar w:fldCharType="begin"/>
      </w:r>
      <w:r>
        <w:instrText xml:space="preserve"> PAGEREF _Toc26917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_Toc28579 </w:instrText>
      </w:r>
      <w:r>
        <w:rPr>
          <w:rFonts w:hint="default"/>
          <w:lang w:val="en-US"/>
        </w:rPr>
        <w:fldChar w:fldCharType="separate"/>
      </w:r>
      <w:r>
        <w:rPr>
          <w:rFonts w:hint="eastAsia"/>
          <w:lang w:val="en-US" w:eastAsia="zh-CN"/>
        </w:rPr>
        <w:t>4.4.2策划与建立</w:t>
      </w:r>
      <w:r>
        <w:tab/>
      </w:r>
      <w:r>
        <w:fldChar w:fldCharType="begin"/>
      </w:r>
      <w:r>
        <w:instrText xml:space="preserve"> PAGEREF _Toc28579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_Toc31874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4.5 </w:t>
      </w:r>
      <w:r>
        <w:rPr>
          <w:rFonts w:hint="eastAsia"/>
          <w:lang w:val="en-US" w:eastAsia="zh-CN"/>
        </w:rPr>
        <w:t>实施和改进</w:t>
      </w:r>
      <w:r>
        <w:tab/>
      </w:r>
      <w:r>
        <w:fldChar w:fldCharType="begin"/>
      </w:r>
      <w:r>
        <w:instrText xml:space="preserve"> PAGEREF _Toc31874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_Toc10378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4.6 </w:t>
      </w:r>
      <w:r>
        <w:rPr>
          <w:rFonts w:hint="eastAsia"/>
          <w:lang w:val="en-US" w:eastAsia="zh-CN"/>
        </w:rPr>
        <w:t>成文信息</w:t>
      </w:r>
      <w:r>
        <w:tab/>
      </w:r>
      <w:r>
        <w:fldChar w:fldCharType="begin"/>
      </w:r>
      <w:r>
        <w:instrText xml:space="preserve"> PAGEREF _Toc10378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_Toc20854 </w:instrText>
      </w:r>
      <w:r>
        <w:rPr>
          <w:rFonts w:hint="default"/>
          <w:lang w:val="en-US"/>
        </w:rPr>
        <w:fldChar w:fldCharType="separate"/>
      </w:r>
      <w:r>
        <w:rPr>
          <w:rFonts w:hint="eastAsia"/>
          <w:lang w:val="en-US" w:eastAsia="zh-CN"/>
        </w:rPr>
        <w:t>4.6.1创建和更新</w:t>
      </w:r>
      <w:r>
        <w:tab/>
      </w:r>
      <w:r>
        <w:fldChar w:fldCharType="begin"/>
      </w:r>
      <w:r>
        <w:instrText xml:space="preserve"> PAGEREF _Toc20854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_Toc8410 </w:instrText>
      </w:r>
      <w:r>
        <w:rPr>
          <w:rFonts w:hint="default"/>
          <w:lang w:val="en-US"/>
        </w:rPr>
        <w:fldChar w:fldCharType="separate"/>
      </w:r>
      <w:r>
        <w:rPr>
          <w:rFonts w:hint="eastAsia"/>
          <w:lang w:val="en-US" w:eastAsia="zh-CN"/>
        </w:rPr>
        <w:t>4.6.2管控</w:t>
      </w:r>
      <w:r>
        <w:tab/>
      </w:r>
      <w:r>
        <w:fldChar w:fldCharType="begin"/>
      </w:r>
      <w:r>
        <w:instrText xml:space="preserve"> PAGEREF _Toc8410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_Toc8358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4.7 </w:t>
      </w:r>
      <w:r>
        <w:rPr>
          <w:rFonts w:hint="eastAsia"/>
          <w:lang w:val="en-US" w:eastAsia="zh-CN"/>
        </w:rPr>
        <w:t>知识管理</w:t>
      </w:r>
      <w:r>
        <w:tab/>
      </w:r>
      <w:r>
        <w:fldChar w:fldCharType="begin"/>
      </w:r>
      <w:r>
        <w:instrText xml:space="preserve"> PAGEREF _Toc8358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_Toc12811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4.8 </w:t>
      </w:r>
      <w:r>
        <w:rPr>
          <w:rFonts w:hint="eastAsia"/>
          <w:lang w:val="en-US" w:eastAsia="zh-CN"/>
        </w:rPr>
        <w:t>安全文化建设</w:t>
      </w:r>
      <w:r>
        <w:tab/>
      </w:r>
      <w:r>
        <w:fldChar w:fldCharType="begin"/>
      </w:r>
      <w:r>
        <w:instrText xml:space="preserve"> PAGEREF _Toc12811 </w:instrText>
      </w:r>
      <w:r>
        <w:fldChar w:fldCharType="separate"/>
      </w:r>
      <w:r>
        <w:t>12</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_Toc31596 </w:instrText>
      </w:r>
      <w:r>
        <w:rPr>
          <w:rFonts w:hint="default"/>
          <w:lang w:val="en-US"/>
        </w:rPr>
        <w:fldChar w:fldCharType="separate"/>
      </w:r>
      <w:r>
        <w:rPr>
          <w:rFonts w:hint="eastAsia" w:ascii="黑体" w:hAnsi="Times New Roman" w:eastAsia="黑体"/>
          <w:i w:val="0"/>
          <w:szCs w:val="21"/>
          <w:lang w:val="en-US" w:eastAsia="zh-CN"/>
        </w:rPr>
        <w:t xml:space="preserve">5 </w:t>
      </w:r>
      <w:r>
        <w:rPr>
          <w:rFonts w:hint="eastAsia"/>
          <w:szCs w:val="22"/>
          <w:lang w:val="en-US" w:eastAsia="zh-CN"/>
        </w:rPr>
        <w:t>风险管理</w:t>
      </w:r>
      <w:r>
        <w:tab/>
      </w:r>
      <w:r>
        <w:fldChar w:fldCharType="begin"/>
      </w:r>
      <w:r>
        <w:instrText xml:space="preserve"> PAGEREF _Toc31596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_Toc22223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 </w:t>
      </w:r>
      <w:r>
        <w:rPr>
          <w:rFonts w:hint="eastAsia"/>
          <w:highlight w:val="none"/>
          <w:lang w:val="en-US" w:eastAsia="zh-CN"/>
        </w:rPr>
        <w:t>因素辨识</w:t>
      </w:r>
      <w:r>
        <w:tab/>
      </w:r>
      <w:r>
        <w:fldChar w:fldCharType="begin"/>
      </w:r>
      <w:r>
        <w:instrText xml:space="preserve"> PAGEREF _Toc22223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_Toc19845 </w:instrText>
      </w:r>
      <w:r>
        <w:rPr>
          <w:rFonts w:hint="default"/>
          <w:lang w:val="en-US"/>
        </w:rPr>
        <w:fldChar w:fldCharType="separate"/>
      </w:r>
      <w:r>
        <w:rPr>
          <w:rFonts w:hint="eastAsia"/>
          <w:highlight w:val="none"/>
          <w:lang w:val="en-US" w:eastAsia="zh-CN"/>
        </w:rPr>
        <w:t>5.1.1策划</w:t>
      </w:r>
      <w:r>
        <w:tab/>
      </w:r>
      <w:r>
        <w:fldChar w:fldCharType="begin"/>
      </w:r>
      <w:r>
        <w:instrText xml:space="preserve"> PAGEREF _Toc19845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_Toc113 </w:instrText>
      </w:r>
      <w:r>
        <w:rPr>
          <w:rFonts w:hint="default"/>
          <w:lang w:val="en-US"/>
        </w:rPr>
        <w:fldChar w:fldCharType="separate"/>
      </w:r>
      <w:r>
        <w:rPr>
          <w:rFonts w:hint="eastAsia"/>
          <w:highlight w:val="none"/>
          <w:lang w:val="en-US" w:eastAsia="zh-CN"/>
        </w:rPr>
        <w:t>5.1.2辨识</w:t>
      </w:r>
      <w:r>
        <w:tab/>
      </w:r>
      <w:r>
        <w:fldChar w:fldCharType="begin"/>
      </w:r>
      <w:r>
        <w:instrText xml:space="preserve"> PAGEREF _Toc113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_Toc19828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5.2 </w:t>
      </w:r>
      <w:r>
        <w:rPr>
          <w:rFonts w:hint="eastAsia"/>
          <w:lang w:val="en-US" w:eastAsia="zh-CN"/>
        </w:rPr>
        <w:t>风险评价</w:t>
      </w:r>
      <w:r>
        <w:tab/>
      </w:r>
      <w:r>
        <w:fldChar w:fldCharType="begin"/>
      </w:r>
      <w:r>
        <w:instrText xml:space="preserve"> PAGEREF _Toc19828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_Toc29769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5.3 </w:t>
      </w:r>
      <w:r>
        <w:rPr>
          <w:rFonts w:hint="eastAsia"/>
          <w:lang w:val="en-US" w:eastAsia="zh-CN"/>
        </w:rPr>
        <w:t>风险控制</w:t>
      </w:r>
      <w:r>
        <w:tab/>
      </w:r>
      <w:r>
        <w:fldChar w:fldCharType="begin"/>
      </w:r>
      <w:r>
        <w:instrText xml:space="preserve"> PAGEREF _Toc29769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_Toc22687 </w:instrText>
      </w:r>
      <w:r>
        <w:rPr>
          <w:rFonts w:hint="default"/>
          <w:lang w:val="en-US"/>
        </w:rPr>
        <w:fldChar w:fldCharType="separate"/>
      </w:r>
      <w:r>
        <w:rPr>
          <w:rFonts w:hint="eastAsia"/>
          <w:lang w:val="en-US" w:eastAsia="zh-CN"/>
        </w:rPr>
        <w:t>5.3.1策划</w:t>
      </w:r>
      <w:r>
        <w:tab/>
      </w:r>
      <w:r>
        <w:fldChar w:fldCharType="begin"/>
      </w:r>
      <w:r>
        <w:instrText xml:space="preserve"> PAGEREF _Toc22687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_Toc22986 </w:instrText>
      </w:r>
      <w:r>
        <w:rPr>
          <w:rFonts w:hint="default"/>
          <w:lang w:val="en-US"/>
        </w:rPr>
        <w:fldChar w:fldCharType="separate"/>
      </w:r>
      <w:r>
        <w:rPr>
          <w:rFonts w:hint="eastAsia"/>
          <w:lang w:val="en-US" w:eastAsia="zh-CN"/>
        </w:rPr>
        <w:t>5.3.2控制</w:t>
      </w:r>
      <w:r>
        <w:tab/>
      </w:r>
      <w:r>
        <w:fldChar w:fldCharType="begin"/>
      </w:r>
      <w:r>
        <w:instrText xml:space="preserve"> PAGEREF _Toc22986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_Toc25010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5.4 </w:t>
      </w:r>
      <w:r>
        <w:rPr>
          <w:rFonts w:hint="eastAsia"/>
          <w:lang w:val="en-US" w:eastAsia="zh-CN"/>
        </w:rPr>
        <w:t>投入保障</w:t>
      </w:r>
      <w:r>
        <w:tab/>
      </w:r>
      <w:r>
        <w:fldChar w:fldCharType="begin"/>
      </w:r>
      <w:r>
        <w:instrText xml:space="preserve"> PAGEREF _Toc25010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_Toc9709 </w:instrText>
      </w:r>
      <w:r>
        <w:rPr>
          <w:rFonts w:hint="default"/>
          <w:lang w:val="en-US"/>
        </w:rPr>
        <w:fldChar w:fldCharType="separate"/>
      </w:r>
      <w:r>
        <w:rPr>
          <w:rFonts w:hint="eastAsia"/>
          <w:lang w:val="en-US" w:eastAsia="zh-CN"/>
        </w:rPr>
        <w:t>5.4.1安全经费</w:t>
      </w:r>
      <w:r>
        <w:tab/>
      </w:r>
      <w:r>
        <w:fldChar w:fldCharType="begin"/>
      </w:r>
      <w:r>
        <w:instrText xml:space="preserve"> PAGEREF _Toc9709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_Toc2772 </w:instrText>
      </w:r>
      <w:r>
        <w:rPr>
          <w:rFonts w:hint="default"/>
          <w:lang w:val="en-US"/>
        </w:rPr>
        <w:fldChar w:fldCharType="separate"/>
      </w:r>
      <w:r>
        <w:rPr>
          <w:rFonts w:hint="eastAsia"/>
          <w:lang w:val="en-US" w:eastAsia="zh-CN"/>
        </w:rPr>
        <w:t>5.4.2风险投入</w:t>
      </w:r>
      <w:r>
        <w:tab/>
      </w:r>
      <w:r>
        <w:fldChar w:fldCharType="begin"/>
      </w:r>
      <w:r>
        <w:instrText xml:space="preserve"> PAGEREF _Toc2772 </w:instrText>
      </w:r>
      <w:r>
        <w:fldChar w:fldCharType="separate"/>
      </w:r>
      <w:r>
        <w:t>14</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_Toc14088 </w:instrText>
      </w:r>
      <w:r>
        <w:rPr>
          <w:rFonts w:hint="default"/>
          <w:lang w:val="en-US"/>
        </w:rPr>
        <w:fldChar w:fldCharType="separate"/>
      </w:r>
      <w:r>
        <w:rPr>
          <w:rFonts w:hint="eastAsia" w:ascii="黑体" w:hAnsi="Times New Roman" w:eastAsia="黑体"/>
          <w:i w:val="0"/>
          <w:szCs w:val="21"/>
          <w:lang w:val="en-US" w:eastAsia="zh-CN"/>
        </w:rPr>
        <w:t xml:space="preserve">6 </w:t>
      </w:r>
      <w:r>
        <w:rPr>
          <w:rFonts w:hint="eastAsia"/>
          <w:szCs w:val="22"/>
          <w:lang w:val="en-US" w:eastAsia="zh-CN"/>
        </w:rPr>
        <w:t>隐患管理</w:t>
      </w:r>
      <w:r>
        <w:tab/>
      </w:r>
      <w:r>
        <w:fldChar w:fldCharType="begin"/>
      </w:r>
      <w:r>
        <w:instrText xml:space="preserve"> PAGEREF _Toc14088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_Toc4772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6.1 </w:t>
      </w:r>
      <w:r>
        <w:rPr>
          <w:rFonts w:hint="eastAsia"/>
          <w:lang w:val="en-US" w:eastAsia="zh-CN"/>
        </w:rPr>
        <w:t>分级分类</w:t>
      </w:r>
      <w:r>
        <w:tab/>
      </w:r>
      <w:r>
        <w:fldChar w:fldCharType="begin"/>
      </w:r>
      <w:r>
        <w:instrText xml:space="preserve"> PAGEREF _Toc4772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_Toc19541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6.2 </w:t>
      </w:r>
      <w:r>
        <w:rPr>
          <w:rFonts w:hint="eastAsia"/>
          <w:lang w:val="en-US" w:eastAsia="zh-CN"/>
        </w:rPr>
        <w:t>隐患排查</w:t>
      </w:r>
      <w:r>
        <w:tab/>
      </w:r>
      <w:r>
        <w:fldChar w:fldCharType="begin"/>
      </w:r>
      <w:r>
        <w:instrText xml:space="preserve"> PAGEREF _Toc19541 </w:instrText>
      </w:r>
      <w:r>
        <w:fldChar w:fldCharType="separate"/>
      </w:r>
      <w:r>
        <w:t>15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_Toc12838 </w:instrText>
      </w:r>
      <w:r>
        <w:rPr>
          <w:rFonts w:hint="default"/>
          <w:lang w:val="en-US"/>
        </w:rPr>
        <w:fldChar w:fldCharType="separate"/>
      </w:r>
      <w:r>
        <w:rPr>
          <w:rFonts w:hint="eastAsia" w:hAnsi="Times New Roman" w:cs="Times New Roman"/>
          <w:lang w:val="en-US" w:eastAsia="zh-CN"/>
        </w:rPr>
        <w:t>6.2.1</w:t>
      </w:r>
      <w:r>
        <w:rPr>
          <w:rFonts w:hint="eastAsia" w:cs="Times New Roman"/>
          <w:lang w:val="en-US" w:eastAsia="zh-CN"/>
        </w:rPr>
        <w:t>策划</w:t>
      </w:r>
      <w:r>
        <w:tab/>
      </w:r>
      <w:r>
        <w:fldChar w:fldCharType="begin"/>
      </w:r>
      <w:r>
        <w:instrText xml:space="preserve"> PAGEREF _Toc12838 </w:instrText>
      </w:r>
      <w:r>
        <w:fldChar w:fldCharType="separate"/>
      </w:r>
      <w:r>
        <w:t>15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_Toc7859 </w:instrText>
      </w:r>
      <w:r>
        <w:rPr>
          <w:rFonts w:hint="default"/>
          <w:lang w:val="en-US"/>
        </w:rPr>
        <w:fldChar w:fldCharType="separate"/>
      </w:r>
      <w:r>
        <w:rPr>
          <w:rFonts w:hint="eastAsia" w:hAnsi="Times New Roman" w:cs="Times New Roman"/>
          <w:lang w:val="en-US" w:eastAsia="zh-CN"/>
        </w:rPr>
        <w:t>6.2.</w:t>
      </w:r>
      <w:r>
        <w:rPr>
          <w:rFonts w:hint="eastAsia" w:cs="Times New Roman"/>
          <w:lang w:val="en-US" w:eastAsia="zh-CN"/>
        </w:rPr>
        <w:t>2</w:t>
      </w:r>
      <w:r>
        <w:rPr>
          <w:rFonts w:hint="eastAsia" w:hAnsi="Times New Roman" w:cs="Times New Roman"/>
          <w:lang w:val="en-US" w:eastAsia="zh-CN"/>
        </w:rPr>
        <w:t>实施</w:t>
      </w:r>
      <w:r>
        <w:tab/>
      </w:r>
      <w:r>
        <w:fldChar w:fldCharType="begin"/>
      </w:r>
      <w:r>
        <w:instrText xml:space="preserve"> PAGEREF _Toc7859 </w:instrText>
      </w:r>
      <w:r>
        <w:fldChar w:fldCharType="separate"/>
      </w:r>
      <w:r>
        <w:t>15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_Toc15106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6.3 </w:t>
      </w:r>
      <w:r>
        <w:rPr>
          <w:rFonts w:hint="eastAsia"/>
          <w:lang w:val="en-US" w:eastAsia="zh-CN"/>
        </w:rPr>
        <w:t>隐患治理</w:t>
      </w:r>
      <w:r>
        <w:tab/>
      </w:r>
      <w:r>
        <w:fldChar w:fldCharType="begin"/>
      </w:r>
      <w:r>
        <w:instrText xml:space="preserve"> PAGEREF _Toc15106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_Toc19555 </w:instrText>
      </w:r>
      <w:r>
        <w:rPr>
          <w:rFonts w:hint="default"/>
          <w:lang w:val="en-US"/>
        </w:rPr>
        <w:fldChar w:fldCharType="separate"/>
      </w:r>
      <w:r>
        <w:rPr>
          <w:rFonts w:hint="eastAsia" w:hAnsi="Times New Roman" w:cs="Times New Roman"/>
          <w:lang w:val="en-US" w:eastAsia="zh-CN"/>
        </w:rPr>
        <w:t>6.3.1</w:t>
      </w:r>
      <w:r>
        <w:rPr>
          <w:rFonts w:hint="eastAsia" w:cs="Times New Roman"/>
          <w:lang w:val="en-US" w:eastAsia="zh-CN"/>
        </w:rPr>
        <w:t>分级</w:t>
      </w:r>
      <w:r>
        <w:rPr>
          <w:rFonts w:hint="eastAsia" w:hAnsi="Times New Roman" w:cs="Times New Roman"/>
          <w:lang w:val="en-US" w:eastAsia="zh-CN"/>
        </w:rPr>
        <w:t>治理</w:t>
      </w:r>
      <w:r>
        <w:tab/>
      </w:r>
      <w:r>
        <w:fldChar w:fldCharType="begin"/>
      </w:r>
      <w:r>
        <w:instrText xml:space="preserve"> PAGEREF _Toc19555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_Toc192 </w:instrText>
      </w:r>
      <w:r>
        <w:rPr>
          <w:rFonts w:hint="default"/>
          <w:lang w:val="en-US"/>
        </w:rPr>
        <w:fldChar w:fldCharType="separate"/>
      </w:r>
      <w:r>
        <w:rPr>
          <w:rFonts w:hint="eastAsia" w:hAnsi="Times New Roman" w:cs="Times New Roman"/>
          <w:lang w:val="en-US" w:eastAsia="zh-CN"/>
        </w:rPr>
        <w:t>6.3.</w:t>
      </w:r>
      <w:r>
        <w:rPr>
          <w:rFonts w:hint="eastAsia" w:cs="Times New Roman"/>
          <w:lang w:val="en-US" w:eastAsia="zh-CN"/>
        </w:rPr>
        <w:t>2</w:t>
      </w:r>
      <w:r>
        <w:rPr>
          <w:rFonts w:hint="eastAsia" w:hAnsi="Times New Roman" w:cs="Times New Roman"/>
          <w:lang w:val="en-US" w:eastAsia="zh-CN"/>
        </w:rPr>
        <w:t>验收</w:t>
      </w:r>
      <w:r>
        <w:rPr>
          <w:rFonts w:hint="eastAsia" w:cs="Times New Roman"/>
          <w:lang w:val="en-US" w:eastAsia="zh-CN"/>
        </w:rPr>
        <w:t>评估</w:t>
      </w:r>
      <w:r>
        <w:tab/>
      </w:r>
      <w:r>
        <w:fldChar w:fldCharType="begin"/>
      </w:r>
      <w:r>
        <w:instrText xml:space="preserve"> PAGEREF _Toc192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_Toc6106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6.4 </w:t>
      </w:r>
      <w:r>
        <w:rPr>
          <w:rFonts w:hint="eastAsia" w:cs="Times New Roman"/>
          <w:lang w:val="en-US" w:eastAsia="zh-CN"/>
        </w:rPr>
        <w:t>通报与报告</w:t>
      </w:r>
      <w:r>
        <w:tab/>
      </w:r>
      <w:r>
        <w:fldChar w:fldCharType="begin"/>
      </w:r>
      <w:r>
        <w:instrText xml:space="preserve"> PAGEREF _Toc6106 </w:instrText>
      </w:r>
      <w:r>
        <w:fldChar w:fldCharType="separate"/>
      </w:r>
      <w:r>
        <w:t>16</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_Toc11497 </w:instrText>
      </w:r>
      <w:r>
        <w:rPr>
          <w:rFonts w:hint="default"/>
          <w:lang w:val="en-US"/>
        </w:rPr>
        <w:fldChar w:fldCharType="separate"/>
      </w:r>
      <w:r>
        <w:rPr>
          <w:rFonts w:hint="eastAsia" w:ascii="黑体" w:hAnsi="Times New Roman" w:eastAsia="黑体"/>
          <w:i w:val="0"/>
          <w:szCs w:val="21"/>
          <w:lang w:val="en-US" w:eastAsia="zh-CN"/>
        </w:rPr>
        <w:t xml:space="preserve">7 </w:t>
      </w:r>
      <w:r>
        <w:rPr>
          <w:rFonts w:hint="eastAsia"/>
          <w:szCs w:val="22"/>
          <w:lang w:val="en-US" w:eastAsia="zh-CN"/>
        </w:rPr>
        <w:t>人力资源管理</w:t>
      </w:r>
      <w:r>
        <w:tab/>
      </w:r>
      <w:r>
        <w:fldChar w:fldCharType="begin"/>
      </w:r>
      <w:r>
        <w:instrText xml:space="preserve"> PAGEREF _Toc11497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_Toc14805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lang w:val="en-US" w:eastAsia="zh-CN"/>
        </w:rPr>
        <w:t>领导作用</w:t>
      </w:r>
      <w:r>
        <w:tab/>
      </w:r>
      <w:r>
        <w:fldChar w:fldCharType="begin"/>
      </w:r>
      <w:r>
        <w:instrText xml:space="preserve"> PAGEREF _Toc14805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_Toc23864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lang w:val="en-US" w:eastAsia="zh-CN"/>
        </w:rPr>
        <w:t>安全承诺</w:t>
      </w:r>
      <w:r>
        <w:tab/>
      </w:r>
      <w:r>
        <w:fldChar w:fldCharType="begin"/>
      </w:r>
      <w:r>
        <w:instrText xml:space="preserve"> PAGEREF _Toc23864 </w:instrText>
      </w:r>
      <w:r>
        <w:fldChar w:fldCharType="separate"/>
      </w:r>
      <w:r>
        <w:t>17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_Toc18767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lang w:val="en-US" w:eastAsia="zh-CN"/>
        </w:rPr>
        <w:t>机构设置</w:t>
      </w:r>
      <w:r>
        <w:tab/>
      </w:r>
      <w:r>
        <w:fldChar w:fldCharType="begin"/>
      </w:r>
      <w:r>
        <w:instrText xml:space="preserve"> PAGEREF _Toc18767 </w:instrText>
      </w:r>
      <w:r>
        <w:fldChar w:fldCharType="separate"/>
      </w:r>
      <w:r>
        <w:t>17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_Toc9273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7.4 </w:t>
      </w:r>
      <w:r>
        <w:rPr>
          <w:rFonts w:hint="eastAsia"/>
          <w:lang w:val="en-US" w:eastAsia="zh-CN"/>
        </w:rPr>
        <w:t>人员配备</w:t>
      </w:r>
      <w:r>
        <w:tab/>
      </w:r>
      <w:r>
        <w:fldChar w:fldCharType="begin"/>
      </w:r>
      <w:r>
        <w:instrText xml:space="preserve"> PAGEREF _Toc9273 </w:instrText>
      </w:r>
      <w:r>
        <w:fldChar w:fldCharType="separate"/>
      </w:r>
      <w:r>
        <w:t>17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_Toc4121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7.5 </w:t>
      </w:r>
      <w:r>
        <w:rPr>
          <w:rFonts w:hint="default"/>
          <w:lang w:val="en-US" w:eastAsia="zh-CN"/>
        </w:rPr>
        <w:t>职责权限</w:t>
      </w:r>
      <w:r>
        <w:tab/>
      </w:r>
      <w:r>
        <w:fldChar w:fldCharType="begin"/>
      </w:r>
      <w:r>
        <w:instrText xml:space="preserve"> PAGEREF _Toc4121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_Toc6420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7.6 </w:t>
      </w:r>
      <w:r>
        <w:rPr>
          <w:rFonts w:hint="default"/>
          <w:lang w:val="en-US" w:eastAsia="zh-CN"/>
        </w:rPr>
        <w:t>能力</w:t>
      </w:r>
      <w:r>
        <w:rPr>
          <w:rFonts w:hint="eastAsia"/>
          <w:lang w:val="en-US" w:eastAsia="zh-CN"/>
        </w:rPr>
        <w:t>意识</w:t>
      </w:r>
      <w:r>
        <w:tab/>
      </w:r>
      <w:r>
        <w:fldChar w:fldCharType="begin"/>
      </w:r>
      <w:r>
        <w:instrText xml:space="preserve"> PAGEREF _Toc6420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_Toc14396 </w:instrText>
      </w:r>
      <w:r>
        <w:rPr>
          <w:rFonts w:hint="default"/>
          <w:lang w:val="en-US"/>
        </w:rPr>
        <w:fldChar w:fldCharType="separate"/>
      </w:r>
      <w:r>
        <w:rPr>
          <w:rFonts w:hint="eastAsia"/>
          <w:lang w:val="en-US" w:eastAsia="zh-CN"/>
        </w:rPr>
        <w:t>7.6.1能力</w:t>
      </w:r>
      <w:r>
        <w:tab/>
      </w:r>
      <w:r>
        <w:fldChar w:fldCharType="begin"/>
      </w:r>
      <w:r>
        <w:instrText xml:space="preserve"> PAGEREF _Toc14396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_Toc28002 </w:instrText>
      </w:r>
      <w:r>
        <w:rPr>
          <w:rFonts w:hint="default"/>
          <w:lang w:val="en-US"/>
        </w:rPr>
        <w:fldChar w:fldCharType="separate"/>
      </w:r>
      <w:r>
        <w:rPr>
          <w:rFonts w:hint="eastAsia"/>
          <w:lang w:val="en-US" w:eastAsia="zh-CN"/>
        </w:rPr>
        <w:t>7.6.2意识</w:t>
      </w:r>
      <w:r>
        <w:tab/>
      </w:r>
      <w:r>
        <w:fldChar w:fldCharType="begin"/>
      </w:r>
      <w:r>
        <w:instrText xml:space="preserve"> PAGEREF _Toc28002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_Toc14980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7.7 </w:t>
      </w:r>
      <w:r>
        <w:rPr>
          <w:rFonts w:hint="default"/>
          <w:lang w:val="en-US" w:eastAsia="zh-CN"/>
        </w:rPr>
        <w:t>信息交流</w:t>
      </w:r>
      <w:r>
        <w:tab/>
      </w:r>
      <w:r>
        <w:fldChar w:fldCharType="begin"/>
      </w:r>
      <w:r>
        <w:instrText xml:space="preserve"> PAGEREF _Toc14980 </w:instrText>
      </w:r>
      <w:r>
        <w:fldChar w:fldCharType="separate"/>
      </w:r>
      <w:r>
        <w:t>18</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_Toc24592 </w:instrText>
      </w:r>
      <w:r>
        <w:rPr>
          <w:rFonts w:hint="default"/>
          <w:lang w:val="en-US"/>
        </w:rPr>
        <w:fldChar w:fldCharType="separate"/>
      </w:r>
      <w:r>
        <w:rPr>
          <w:rFonts w:hint="eastAsia" w:ascii="黑体" w:hAnsi="Times New Roman" w:eastAsia="黑体"/>
          <w:i w:val="0"/>
          <w:szCs w:val="21"/>
          <w:lang w:val="en-US" w:eastAsia="zh-CN"/>
        </w:rPr>
        <w:t xml:space="preserve">8 </w:t>
      </w:r>
      <w:r>
        <w:rPr>
          <w:rFonts w:hint="eastAsia"/>
          <w:szCs w:val="22"/>
          <w:lang w:val="en-US" w:eastAsia="zh-CN"/>
        </w:rPr>
        <w:t>供应商/分包方管理</w:t>
      </w:r>
      <w:r>
        <w:tab/>
      </w:r>
      <w:r>
        <w:fldChar w:fldCharType="begin"/>
      </w:r>
      <w:r>
        <w:instrText xml:space="preserve"> PAGEREF _Toc24592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_Toc4232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8.1 </w:t>
      </w:r>
      <w:r>
        <w:rPr>
          <w:rFonts w:hint="eastAsia"/>
          <w:lang w:val="en-US" w:eastAsia="zh-CN"/>
        </w:rPr>
        <w:t>供应商管理</w:t>
      </w:r>
      <w:r>
        <w:tab/>
      </w:r>
      <w:r>
        <w:fldChar w:fldCharType="begin"/>
      </w:r>
      <w:r>
        <w:instrText xml:space="preserve"> PAGEREF _Toc4232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_Toc1019 </w:instrText>
      </w:r>
      <w:r>
        <w:rPr>
          <w:rFonts w:hint="default"/>
          <w:lang w:val="en-US"/>
        </w:rPr>
        <w:fldChar w:fldCharType="separate"/>
      </w:r>
      <w:r>
        <w:rPr>
          <w:rFonts w:hint="eastAsia"/>
          <w:highlight w:val="none"/>
          <w:lang w:val="en-US" w:eastAsia="zh-CN"/>
        </w:rPr>
        <w:t>8.1.1供应商选择</w:t>
      </w:r>
      <w:r>
        <w:tab/>
      </w:r>
      <w:r>
        <w:fldChar w:fldCharType="begin"/>
      </w:r>
      <w:r>
        <w:instrText xml:space="preserve"> PAGEREF _Toc1019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_Toc8831 </w:instrText>
      </w:r>
      <w:r>
        <w:rPr>
          <w:rFonts w:hint="default"/>
          <w:lang w:val="en-US"/>
        </w:rPr>
        <w:fldChar w:fldCharType="separate"/>
      </w:r>
      <w:r>
        <w:rPr>
          <w:rFonts w:hint="eastAsia"/>
          <w:szCs w:val="21"/>
          <w:highlight w:val="none"/>
          <w:lang w:val="en-US" w:eastAsia="zh-CN"/>
        </w:rPr>
        <w:t>8.1.2供应商评价</w:t>
      </w:r>
      <w:r>
        <w:tab/>
      </w:r>
      <w:r>
        <w:fldChar w:fldCharType="begin"/>
      </w:r>
      <w:r>
        <w:instrText xml:space="preserve"> PAGEREF _Toc8831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_Toc1542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8.2 </w:t>
      </w:r>
      <w:r>
        <w:rPr>
          <w:rFonts w:hint="eastAsia"/>
          <w:lang w:val="en-US" w:eastAsia="zh-CN"/>
        </w:rPr>
        <w:t>分包方管理</w:t>
      </w:r>
      <w:r>
        <w:tab/>
      </w:r>
      <w:r>
        <w:fldChar w:fldCharType="begin"/>
      </w:r>
      <w:r>
        <w:instrText xml:space="preserve"> PAGEREF _Toc1542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_Toc24870 </w:instrText>
      </w:r>
      <w:r>
        <w:rPr>
          <w:rFonts w:hint="default"/>
          <w:lang w:val="en-US"/>
        </w:rPr>
        <w:fldChar w:fldCharType="separate"/>
      </w:r>
      <w:r>
        <w:rPr>
          <w:rFonts w:hint="eastAsia"/>
          <w:lang w:val="en-US" w:eastAsia="zh-CN"/>
        </w:rPr>
        <w:t>8.2.1分包方选择</w:t>
      </w:r>
      <w:r>
        <w:tab/>
      </w:r>
      <w:r>
        <w:fldChar w:fldCharType="begin"/>
      </w:r>
      <w:r>
        <w:instrText xml:space="preserve"> PAGEREF _Toc24870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_Toc13788 </w:instrText>
      </w:r>
      <w:r>
        <w:rPr>
          <w:rFonts w:hint="default"/>
          <w:lang w:val="en-US"/>
        </w:rPr>
        <w:fldChar w:fldCharType="separate"/>
      </w:r>
      <w:r>
        <w:rPr>
          <w:rFonts w:hint="eastAsia"/>
          <w:highlight w:val="none"/>
          <w:lang w:val="en-US" w:eastAsia="zh-CN"/>
        </w:rPr>
        <w:t>8.2.2分包方评价</w:t>
      </w:r>
      <w:r>
        <w:tab/>
      </w:r>
      <w:r>
        <w:fldChar w:fldCharType="begin"/>
      </w:r>
      <w:r>
        <w:instrText xml:space="preserve"> PAGEREF _Toc13788 </w:instrText>
      </w:r>
      <w:r>
        <w:fldChar w:fldCharType="separate"/>
      </w:r>
      <w:r>
        <w:t>20</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_Toc24559 </w:instrText>
      </w:r>
      <w:r>
        <w:rPr>
          <w:rFonts w:hint="default"/>
          <w:lang w:val="en-US"/>
        </w:rPr>
        <w:fldChar w:fldCharType="separate"/>
      </w:r>
      <w:r>
        <w:rPr>
          <w:rFonts w:hint="eastAsia" w:ascii="黑体" w:hAnsi="Times New Roman" w:eastAsia="黑体"/>
          <w:i w:val="0"/>
          <w:szCs w:val="21"/>
          <w:lang w:val="en-US" w:eastAsia="zh-CN"/>
        </w:rPr>
        <w:t xml:space="preserve">9 </w:t>
      </w:r>
      <w:r>
        <w:rPr>
          <w:rFonts w:hint="eastAsia"/>
          <w:szCs w:val="22"/>
          <w:highlight w:val="none"/>
          <w:lang w:val="en-US" w:eastAsia="zh-CN"/>
        </w:rPr>
        <w:t>施工机具管理</w:t>
      </w:r>
      <w:r>
        <w:tab/>
      </w:r>
      <w:r>
        <w:fldChar w:fldCharType="begin"/>
      </w:r>
      <w:r>
        <w:instrText xml:space="preserve"> PAGEREF _Toc24559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_Toc6600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9.1 </w:t>
      </w:r>
      <w:r>
        <w:rPr>
          <w:rFonts w:hint="eastAsia"/>
          <w:lang w:val="en-US" w:eastAsia="zh-CN"/>
        </w:rPr>
        <w:t>需求识别</w:t>
      </w:r>
      <w:r>
        <w:tab/>
      </w:r>
      <w:r>
        <w:fldChar w:fldCharType="begin"/>
      </w:r>
      <w:r>
        <w:instrText xml:space="preserve"> PAGEREF _Toc6600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_Toc29171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9.2 </w:t>
      </w:r>
      <w:r>
        <w:rPr>
          <w:rFonts w:hint="eastAsia"/>
          <w:lang w:val="en-US" w:eastAsia="zh-CN"/>
        </w:rPr>
        <w:t>培训、使用与维护</w:t>
      </w:r>
      <w:r>
        <w:tab/>
      </w:r>
      <w:r>
        <w:fldChar w:fldCharType="begin"/>
      </w:r>
      <w:r>
        <w:instrText xml:space="preserve"> PAGEREF _Toc29171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_Toc3707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9.3 </w:t>
      </w:r>
      <w:r>
        <w:rPr>
          <w:rFonts w:hint="eastAsia"/>
          <w:lang w:val="en-US" w:eastAsia="zh-CN"/>
        </w:rPr>
        <w:t>检验与检查</w:t>
      </w:r>
      <w:r>
        <w:tab/>
      </w:r>
      <w:r>
        <w:fldChar w:fldCharType="begin"/>
      </w:r>
      <w:r>
        <w:instrText xml:space="preserve"> PAGEREF _Toc3707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_Toc26427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9.4 </w:t>
      </w:r>
      <w:r>
        <w:rPr>
          <w:rFonts w:hint="eastAsia"/>
          <w:lang w:val="en-US" w:eastAsia="zh-CN"/>
        </w:rPr>
        <w:t>安装与拆除</w:t>
      </w:r>
      <w:r>
        <w:tab/>
      </w:r>
      <w:r>
        <w:fldChar w:fldCharType="begin"/>
      </w:r>
      <w:r>
        <w:instrText xml:space="preserve"> PAGEREF _Toc26427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_Toc14760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9.5 </w:t>
      </w:r>
      <w:r>
        <w:rPr>
          <w:rFonts w:hint="eastAsia"/>
          <w:lang w:val="en-US" w:eastAsia="zh-CN"/>
        </w:rPr>
        <w:t>报废</w:t>
      </w:r>
      <w:r>
        <w:tab/>
      </w:r>
      <w:r>
        <w:fldChar w:fldCharType="begin"/>
      </w:r>
      <w:r>
        <w:instrText xml:space="preserve"> PAGEREF _Toc14760 </w:instrText>
      </w:r>
      <w:r>
        <w:fldChar w:fldCharType="separate"/>
      </w:r>
      <w:r>
        <w:t>21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_Toc13639 </w:instrText>
      </w:r>
      <w:r>
        <w:rPr>
          <w:rFonts w:hint="default"/>
          <w:lang w:val="en-US"/>
        </w:rPr>
        <w:fldChar w:fldCharType="separate"/>
      </w:r>
      <w:r>
        <w:rPr>
          <w:rFonts w:hint="eastAsia" w:ascii="黑体" w:hAnsi="Times New Roman" w:eastAsia="黑体"/>
          <w:i w:val="0"/>
          <w:szCs w:val="21"/>
          <w:lang w:val="en-US" w:eastAsia="zh-CN"/>
        </w:rPr>
        <w:t xml:space="preserve">10 </w:t>
      </w:r>
      <w:r>
        <w:rPr>
          <w:rFonts w:hint="eastAsia"/>
          <w:szCs w:val="22"/>
          <w:lang w:val="en-US" w:eastAsia="zh-CN"/>
        </w:rPr>
        <w:t>物项</w:t>
      </w:r>
      <w:r>
        <w:rPr>
          <w:rFonts w:hint="default"/>
          <w:szCs w:val="22"/>
          <w:lang w:val="en-US" w:eastAsia="zh-CN"/>
        </w:rPr>
        <w:t>管理</w:t>
      </w:r>
      <w:r>
        <w:tab/>
      </w:r>
      <w:r>
        <w:fldChar w:fldCharType="begin"/>
      </w:r>
      <w:r>
        <w:instrText xml:space="preserve"> PAGEREF _Toc13639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_Toc3812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10.1 </w:t>
      </w:r>
      <w:r>
        <w:rPr>
          <w:rFonts w:hint="default"/>
          <w:lang w:val="en-US" w:eastAsia="zh-CN"/>
        </w:rPr>
        <w:t>采购</w:t>
      </w:r>
      <w:r>
        <w:tab/>
      </w:r>
      <w:r>
        <w:fldChar w:fldCharType="begin"/>
      </w:r>
      <w:r>
        <w:instrText xml:space="preserve"> PAGEREF _Toc3812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_Toc27920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10.2 </w:t>
      </w:r>
      <w:r>
        <w:rPr>
          <w:rFonts w:hint="default"/>
          <w:lang w:val="en-US" w:eastAsia="zh-CN"/>
        </w:rPr>
        <w:t>进场验收</w:t>
      </w:r>
      <w:r>
        <w:tab/>
      </w:r>
      <w:r>
        <w:fldChar w:fldCharType="begin"/>
      </w:r>
      <w:r>
        <w:instrText xml:space="preserve"> PAGEREF _Toc27920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_Toc24624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10.3 </w:t>
      </w:r>
      <w:r>
        <w:rPr>
          <w:rFonts w:hint="default"/>
          <w:lang w:val="en-US" w:eastAsia="zh-CN"/>
        </w:rPr>
        <w:t>现场管理</w:t>
      </w:r>
      <w:r>
        <w:tab/>
      </w:r>
      <w:r>
        <w:fldChar w:fldCharType="begin"/>
      </w:r>
      <w:r>
        <w:instrText xml:space="preserve"> PAGEREF _Toc24624 </w:instrText>
      </w:r>
      <w:r>
        <w:fldChar w:fldCharType="separate"/>
      </w:r>
      <w:r>
        <w:t>21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_Toc12757 </w:instrText>
      </w:r>
      <w:r>
        <w:rPr>
          <w:rFonts w:hint="default"/>
          <w:lang w:val="en-US"/>
        </w:rPr>
        <w:fldChar w:fldCharType="separate"/>
      </w:r>
      <w:r>
        <w:rPr>
          <w:rFonts w:hint="eastAsia" w:ascii="黑体" w:hAnsi="Times New Roman" w:eastAsia="黑体"/>
          <w:i w:val="0"/>
          <w:szCs w:val="21"/>
          <w:lang w:val="en-US" w:eastAsia="zh-CN"/>
        </w:rPr>
        <w:t xml:space="preserve">11 </w:t>
      </w:r>
      <w:r>
        <w:rPr>
          <w:rFonts w:hint="default"/>
          <w:szCs w:val="22"/>
          <w:lang w:val="en-US" w:eastAsia="zh-CN"/>
        </w:rPr>
        <w:t>工程项目管理</w:t>
      </w:r>
      <w:r>
        <w:tab/>
      </w:r>
      <w:r>
        <w:fldChar w:fldCharType="begin"/>
      </w:r>
      <w:r>
        <w:instrText xml:space="preserve"> PAGEREF _Toc12757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 </w:t>
      </w:r>
      <w:r>
        <w:rPr>
          <w:rFonts w:hint="eastAsia"/>
          <w:lang w:val="en-US" w:eastAsia="zh-CN"/>
        </w:rPr>
        <w:t>投标管理</w:t>
      </w:r>
      <w:r>
        <w:tab/>
      </w:r>
      <w:r>
        <w:fldChar w:fldCharType="begin"/>
      </w:r>
      <w:r>
        <w:instrText xml:space="preserve"> PAGEREF _Toc12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_Toc16228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11.2 </w:t>
      </w:r>
      <w:r>
        <w:rPr>
          <w:rFonts w:hint="eastAsia"/>
          <w:lang w:val="en-US" w:eastAsia="zh-CN"/>
        </w:rPr>
        <w:t>合同管理</w:t>
      </w:r>
      <w:r>
        <w:tab/>
      </w:r>
      <w:r>
        <w:fldChar w:fldCharType="begin"/>
      </w:r>
      <w:r>
        <w:instrText xml:space="preserve"> PAGEREF _Toc16228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_Toc26899 </w:instrText>
      </w:r>
      <w:r>
        <w:rPr>
          <w:rFonts w:hint="default"/>
          <w:lang w:val="en-US"/>
        </w:rPr>
        <w:fldChar w:fldCharType="separate"/>
      </w:r>
      <w:r>
        <w:rPr>
          <w:rFonts w:hint="eastAsia"/>
          <w:lang w:val="en-US" w:eastAsia="zh-CN"/>
        </w:rPr>
        <w:t>11.2.1 合同签订</w:t>
      </w:r>
      <w:r>
        <w:tab/>
      </w:r>
      <w:r>
        <w:fldChar w:fldCharType="begin"/>
      </w:r>
      <w:r>
        <w:instrText xml:space="preserve"> PAGEREF _Toc26899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_Toc17362 </w:instrText>
      </w:r>
      <w:r>
        <w:rPr>
          <w:rFonts w:hint="default"/>
          <w:lang w:val="en-US"/>
        </w:rPr>
        <w:fldChar w:fldCharType="separate"/>
      </w:r>
      <w:r>
        <w:rPr>
          <w:rFonts w:hint="eastAsia"/>
          <w:lang w:val="en-US" w:eastAsia="zh-CN"/>
        </w:rPr>
        <w:t>11.2.2 合同变更</w:t>
      </w:r>
      <w:r>
        <w:tab/>
      </w:r>
      <w:r>
        <w:fldChar w:fldCharType="begin"/>
      </w:r>
      <w:r>
        <w:instrText xml:space="preserve"> PAGEREF _Toc17362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_Toc16226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11.3 </w:t>
      </w:r>
      <w:r>
        <w:rPr>
          <w:rFonts w:hint="eastAsia"/>
          <w:lang w:val="en-US" w:eastAsia="zh-CN"/>
        </w:rPr>
        <w:t>项目</w:t>
      </w:r>
      <w:r>
        <w:rPr>
          <w:rFonts w:hint="default"/>
          <w:lang w:val="en-US" w:eastAsia="zh-CN"/>
        </w:rPr>
        <w:t>策划</w:t>
      </w:r>
      <w:r>
        <w:tab/>
      </w:r>
      <w:r>
        <w:fldChar w:fldCharType="begin"/>
      </w:r>
      <w:r>
        <w:instrText xml:space="preserve"> PAGEREF _Toc16226 </w:instrText>
      </w:r>
      <w:r>
        <w:fldChar w:fldCharType="separate"/>
      </w:r>
      <w:r>
        <w:t>23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_Toc12213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11.4 </w:t>
      </w:r>
      <w:r>
        <w:rPr>
          <w:rFonts w:hint="default"/>
          <w:lang w:val="en-US" w:eastAsia="zh-CN"/>
        </w:rPr>
        <w:t>工程设计</w:t>
      </w:r>
      <w:r>
        <w:tab/>
      </w:r>
      <w:r>
        <w:fldChar w:fldCharType="begin"/>
      </w:r>
      <w:r>
        <w:instrText xml:space="preserve"> PAGEREF _Toc12213 </w:instrText>
      </w:r>
      <w:r>
        <w:fldChar w:fldCharType="separate"/>
      </w:r>
      <w:r>
        <w:t>23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_Toc25186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11.5 </w:t>
      </w:r>
      <w:r>
        <w:rPr>
          <w:rFonts w:hint="default"/>
          <w:lang w:val="en-US" w:eastAsia="zh-CN"/>
        </w:rPr>
        <w:t>施工准备</w:t>
      </w:r>
      <w:r>
        <w:tab/>
      </w:r>
      <w:r>
        <w:fldChar w:fldCharType="begin"/>
      </w:r>
      <w:r>
        <w:instrText xml:space="preserve"> PAGEREF _Toc25186 </w:instrText>
      </w:r>
      <w:r>
        <w:fldChar w:fldCharType="separate"/>
      </w:r>
      <w:r>
        <w:t>23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_Toc31066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11.6 </w:t>
      </w:r>
      <w:r>
        <w:rPr>
          <w:rFonts w:hint="eastAsia"/>
          <w:lang w:val="en-US" w:eastAsia="zh-CN"/>
        </w:rPr>
        <w:t>质量管理</w:t>
      </w:r>
      <w:r>
        <w:tab/>
      </w:r>
      <w:r>
        <w:fldChar w:fldCharType="begin"/>
      </w:r>
      <w:r>
        <w:instrText xml:space="preserve"> PAGEREF _Toc31066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_Toc29330 </w:instrText>
      </w:r>
      <w:r>
        <w:rPr>
          <w:rFonts w:hint="default"/>
          <w:lang w:val="en-US"/>
        </w:rPr>
        <w:fldChar w:fldCharType="separate"/>
      </w:r>
      <w:r>
        <w:rPr>
          <w:rFonts w:hint="eastAsia"/>
          <w:lang w:val="en-US" w:eastAsia="zh-CN"/>
        </w:rPr>
        <w:t>11.6.1质量保证</w:t>
      </w:r>
      <w:r>
        <w:tab/>
      </w:r>
      <w:r>
        <w:fldChar w:fldCharType="begin"/>
      </w:r>
      <w:r>
        <w:instrText xml:space="preserve"> PAGEREF _Toc29330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_Toc32259 </w:instrText>
      </w:r>
      <w:r>
        <w:rPr>
          <w:rFonts w:hint="default"/>
          <w:lang w:val="en-US"/>
        </w:rPr>
        <w:fldChar w:fldCharType="separate"/>
      </w:r>
      <w:r>
        <w:rPr>
          <w:rFonts w:hint="eastAsia"/>
          <w:lang w:val="en-US" w:eastAsia="zh-CN"/>
        </w:rPr>
        <w:t>11.6.2过程确认</w:t>
      </w:r>
      <w:r>
        <w:tab/>
      </w:r>
      <w:r>
        <w:fldChar w:fldCharType="begin"/>
      </w:r>
      <w:r>
        <w:instrText xml:space="preserve"> PAGEREF _Toc32259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_Toc3599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11.7 </w:t>
      </w:r>
      <w:r>
        <w:rPr>
          <w:rFonts w:hint="eastAsia"/>
          <w:lang w:val="en-US" w:eastAsia="zh-CN"/>
        </w:rPr>
        <w:t>进度管理</w:t>
      </w:r>
      <w:r>
        <w:tab/>
      </w:r>
      <w:r>
        <w:fldChar w:fldCharType="begin"/>
      </w:r>
      <w:r>
        <w:instrText xml:space="preserve"> PAGEREF _Toc3599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_Toc2049 </w:instrText>
      </w:r>
      <w:r>
        <w:rPr>
          <w:rFonts w:hint="default"/>
          <w:lang w:val="en-US"/>
        </w:rPr>
        <w:fldChar w:fldCharType="separate"/>
      </w:r>
      <w:r>
        <w:rPr>
          <w:rFonts w:hint="eastAsia"/>
          <w:lang w:val="en-US" w:eastAsia="zh-CN"/>
        </w:rPr>
        <w:t>11.7.1进度目标</w:t>
      </w:r>
      <w:r>
        <w:tab/>
      </w:r>
      <w:r>
        <w:fldChar w:fldCharType="begin"/>
      </w:r>
      <w:r>
        <w:instrText xml:space="preserve"> PAGEREF _Toc2049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_Toc6237 </w:instrText>
      </w:r>
      <w:r>
        <w:rPr>
          <w:rFonts w:hint="default"/>
          <w:lang w:val="en-US"/>
        </w:rPr>
        <w:fldChar w:fldCharType="separate"/>
      </w:r>
      <w:r>
        <w:rPr>
          <w:rFonts w:hint="eastAsia"/>
          <w:lang w:val="en-US" w:eastAsia="zh-CN"/>
        </w:rPr>
        <w:t>11.7.2进度风险</w:t>
      </w:r>
      <w:r>
        <w:tab/>
      </w:r>
      <w:r>
        <w:fldChar w:fldCharType="begin"/>
      </w:r>
      <w:r>
        <w:instrText xml:space="preserve"> PAGEREF _Toc6237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_Toc14176 </w:instrText>
      </w:r>
      <w:r>
        <w:rPr>
          <w:rFonts w:hint="default"/>
          <w:lang w:val="en-US"/>
        </w:rPr>
        <w:fldChar w:fldCharType="separate"/>
      </w:r>
      <w:r>
        <w:rPr>
          <w:rFonts w:hint="eastAsia"/>
          <w:lang w:val="en-US" w:eastAsia="zh-CN"/>
        </w:rPr>
        <w:t>11.7.3进度计划</w:t>
      </w:r>
      <w:r>
        <w:tab/>
      </w:r>
      <w:r>
        <w:fldChar w:fldCharType="begin"/>
      </w:r>
      <w:r>
        <w:instrText xml:space="preserve"> PAGEREF _Toc14176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_Toc18947 </w:instrText>
      </w:r>
      <w:r>
        <w:rPr>
          <w:rFonts w:hint="default"/>
          <w:lang w:val="en-US"/>
        </w:rPr>
        <w:fldChar w:fldCharType="separate"/>
      </w:r>
      <w:r>
        <w:rPr>
          <w:rFonts w:hint="eastAsia"/>
          <w:lang w:val="en-US" w:eastAsia="zh-CN"/>
        </w:rPr>
        <w:t>11.7.4进度控制</w:t>
      </w:r>
      <w:r>
        <w:tab/>
      </w:r>
      <w:r>
        <w:fldChar w:fldCharType="begin"/>
      </w:r>
      <w:r>
        <w:instrText xml:space="preserve"> PAGEREF _Toc18947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_Toc25419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11.8 </w:t>
      </w:r>
      <w:r>
        <w:rPr>
          <w:rFonts w:hint="eastAsia"/>
          <w:lang w:val="en-US" w:eastAsia="zh-CN"/>
        </w:rPr>
        <w:t>安全管理</w:t>
      </w:r>
      <w:r>
        <w:tab/>
      </w:r>
      <w:r>
        <w:fldChar w:fldCharType="begin"/>
      </w:r>
      <w:r>
        <w:instrText xml:space="preserve"> PAGEREF _Toc25419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_Toc847 </w:instrText>
      </w:r>
      <w:r>
        <w:rPr>
          <w:rFonts w:hint="default"/>
          <w:lang w:val="en-US"/>
        </w:rPr>
        <w:fldChar w:fldCharType="separate"/>
      </w:r>
      <w:r>
        <w:rPr>
          <w:rFonts w:hint="eastAsia"/>
          <w:highlight w:val="none"/>
          <w:lang w:val="en-US" w:eastAsia="zh-CN"/>
        </w:rPr>
        <w:t>11.8.1基础管理</w:t>
      </w:r>
      <w:r>
        <w:tab/>
      </w:r>
      <w:r>
        <w:fldChar w:fldCharType="begin"/>
      </w:r>
      <w:r>
        <w:instrText xml:space="preserve"> PAGEREF _Toc847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_Toc348 </w:instrText>
      </w:r>
      <w:r>
        <w:rPr>
          <w:rFonts w:hint="default"/>
          <w:lang w:val="en-US"/>
        </w:rPr>
        <w:fldChar w:fldCharType="separate"/>
      </w:r>
      <w:r>
        <w:rPr>
          <w:rFonts w:hint="eastAsia"/>
          <w:highlight w:val="none"/>
          <w:lang w:val="en-US" w:eastAsia="zh-CN"/>
        </w:rPr>
        <w:t>11.8.2过程保障</w:t>
      </w:r>
      <w:r>
        <w:tab/>
      </w:r>
      <w:r>
        <w:fldChar w:fldCharType="begin"/>
      </w:r>
      <w:r>
        <w:instrText xml:space="preserve"> PAGEREF _Toc348 </w:instrText>
      </w:r>
      <w:r>
        <w:fldChar w:fldCharType="separate"/>
      </w:r>
      <w:r>
        <w:t>26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_Toc18392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11.9 </w:t>
      </w:r>
      <w:r>
        <w:rPr>
          <w:rFonts w:hint="eastAsia"/>
          <w:lang w:val="en-US" w:eastAsia="zh-CN"/>
        </w:rPr>
        <w:t>材料管理</w:t>
      </w:r>
      <w:r>
        <w:tab/>
      </w:r>
      <w:r>
        <w:fldChar w:fldCharType="begin"/>
      </w:r>
      <w:r>
        <w:instrText xml:space="preserve"> PAGEREF _Toc18392 </w:instrText>
      </w:r>
      <w:r>
        <w:fldChar w:fldCharType="separate"/>
      </w:r>
      <w:r>
        <w:t>26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_Toc25006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11.10 </w:t>
      </w:r>
      <w:r>
        <w:rPr>
          <w:rFonts w:hint="eastAsia"/>
          <w:lang w:val="en-US" w:eastAsia="zh-CN"/>
        </w:rPr>
        <w:t>环境保护</w:t>
      </w:r>
      <w:r>
        <w:tab/>
      </w:r>
      <w:r>
        <w:fldChar w:fldCharType="begin"/>
      </w:r>
      <w:r>
        <w:instrText xml:space="preserve"> PAGEREF _Toc25006 </w:instrText>
      </w:r>
      <w:r>
        <w:fldChar w:fldCharType="separate"/>
      </w:r>
      <w:r>
        <w:t>26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_Toc32444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11.11 </w:t>
      </w:r>
      <w:r>
        <w:rPr>
          <w:rFonts w:hint="eastAsia"/>
          <w:lang w:val="en-US" w:eastAsia="zh-CN"/>
        </w:rPr>
        <w:t>组织协调</w:t>
      </w:r>
      <w:r>
        <w:tab/>
      </w:r>
      <w:r>
        <w:fldChar w:fldCharType="begin"/>
      </w:r>
      <w:r>
        <w:instrText xml:space="preserve"> PAGEREF _Toc32444 </w:instrText>
      </w:r>
      <w:r>
        <w:fldChar w:fldCharType="separate"/>
      </w:r>
      <w:r>
        <w:t>27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_Toc4235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11.12 </w:t>
      </w:r>
      <w:r>
        <w:rPr>
          <w:rFonts w:hint="eastAsia"/>
          <w:lang w:val="en-US" w:eastAsia="zh-CN"/>
        </w:rPr>
        <w:t>成本管理</w:t>
      </w:r>
      <w:r>
        <w:tab/>
      </w:r>
      <w:r>
        <w:fldChar w:fldCharType="begin"/>
      </w:r>
      <w:r>
        <w:instrText xml:space="preserve"> PAGEREF _Toc4235 </w:instrText>
      </w:r>
      <w:r>
        <w:fldChar w:fldCharType="separate"/>
      </w:r>
      <w:r>
        <w:t>27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_Toc26149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11.13 </w:t>
      </w:r>
      <w:r>
        <w:rPr>
          <w:rFonts w:hint="default"/>
          <w:lang w:val="en-US" w:eastAsia="zh-CN"/>
        </w:rPr>
        <w:t>变更控制</w:t>
      </w:r>
      <w:r>
        <w:tab/>
      </w:r>
      <w:r>
        <w:fldChar w:fldCharType="begin"/>
      </w:r>
      <w:r>
        <w:instrText xml:space="preserve"> PAGEREF _Toc26149 </w:instrText>
      </w:r>
      <w:r>
        <w:fldChar w:fldCharType="separate"/>
      </w:r>
      <w:r>
        <w:t>27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_Toc12917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11.14 </w:t>
      </w:r>
      <w:r>
        <w:rPr>
          <w:rFonts w:hint="eastAsia"/>
          <w:lang w:val="en-US" w:eastAsia="zh-CN"/>
        </w:rPr>
        <w:t>竣工验收</w:t>
      </w:r>
      <w:r>
        <w:tab/>
      </w:r>
      <w:r>
        <w:fldChar w:fldCharType="begin"/>
      </w:r>
      <w:r>
        <w:instrText xml:space="preserve"> PAGEREF _Toc12917 </w:instrText>
      </w:r>
      <w:r>
        <w:fldChar w:fldCharType="separate"/>
      </w:r>
      <w:r>
        <w:t>28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_Toc23449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11.15 </w:t>
      </w:r>
      <w:r>
        <w:rPr>
          <w:rFonts w:hint="eastAsia"/>
          <w:lang w:val="en-US" w:eastAsia="zh-CN"/>
        </w:rPr>
        <w:t>交付服务</w:t>
      </w:r>
      <w:r>
        <w:tab/>
      </w:r>
      <w:r>
        <w:fldChar w:fldCharType="begin"/>
      </w:r>
      <w:r>
        <w:instrText xml:space="preserve"> PAGEREF _Toc23449 </w:instrText>
      </w:r>
      <w:r>
        <w:fldChar w:fldCharType="separate"/>
      </w:r>
      <w:r>
        <w:t>28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_Toc5538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11.16 </w:t>
      </w:r>
      <w:r>
        <w:rPr>
          <w:rFonts w:hint="eastAsia"/>
          <w:lang w:val="en-US" w:eastAsia="zh-CN"/>
        </w:rPr>
        <w:t>档案管理</w:t>
      </w:r>
      <w:r>
        <w:tab/>
      </w:r>
      <w:r>
        <w:fldChar w:fldCharType="begin"/>
      </w:r>
      <w:r>
        <w:instrText xml:space="preserve"> PAGEREF _Toc5538 </w:instrText>
      </w:r>
      <w:r>
        <w:fldChar w:fldCharType="separate"/>
      </w:r>
      <w:r>
        <w:t>28</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_Toc26652 </w:instrText>
      </w:r>
      <w:r>
        <w:rPr>
          <w:rFonts w:hint="default"/>
          <w:lang w:val="en-US"/>
        </w:rPr>
        <w:fldChar w:fldCharType="separate"/>
      </w:r>
      <w:r>
        <w:rPr>
          <w:rFonts w:hint="eastAsia" w:ascii="黑体" w:hAnsi="Times New Roman" w:eastAsia="黑体"/>
          <w:i w:val="0"/>
          <w:szCs w:val="21"/>
          <w:lang w:val="en-US" w:eastAsia="zh-CN"/>
        </w:rPr>
        <w:t xml:space="preserve">12 </w:t>
      </w:r>
      <w:r>
        <w:rPr>
          <w:rFonts w:hint="default"/>
          <w:szCs w:val="22"/>
          <w:lang w:val="en-US" w:eastAsia="zh-CN"/>
        </w:rPr>
        <w:t>应急管理</w:t>
      </w:r>
      <w:r>
        <w:tab/>
      </w:r>
      <w:r>
        <w:fldChar w:fldCharType="begin"/>
      </w:r>
      <w:r>
        <w:instrText xml:space="preserve"> PAGEREF _Toc26652 </w:instrText>
      </w:r>
      <w:r>
        <w:fldChar w:fldCharType="separate"/>
      </w:r>
      <w:r>
        <w:t>29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_Toc19485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12.1 </w:t>
      </w:r>
      <w:r>
        <w:t>应急准备</w:t>
      </w:r>
      <w:r>
        <w:tab/>
      </w:r>
      <w:r>
        <w:fldChar w:fldCharType="begin"/>
      </w:r>
      <w:r>
        <w:instrText xml:space="preserve"> PAGEREF _Toc19485 </w:instrText>
      </w:r>
      <w:r>
        <w:fldChar w:fldCharType="separate"/>
      </w:r>
      <w:r>
        <w:t>29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_Toc13883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12.2 </w:t>
      </w:r>
      <w:r>
        <w:t>应急响应</w:t>
      </w:r>
      <w:r>
        <w:tab/>
      </w:r>
      <w:r>
        <w:fldChar w:fldCharType="begin"/>
      </w:r>
      <w:r>
        <w:instrText xml:space="preserve"> PAGEREF _Toc13883 </w:instrText>
      </w:r>
      <w:r>
        <w:fldChar w:fldCharType="separate"/>
      </w:r>
      <w:r>
        <w:t>29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_Toc31788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12.3 </w:t>
      </w:r>
      <w:r>
        <w:t>处置评估</w:t>
      </w:r>
      <w:r>
        <w:tab/>
      </w:r>
      <w:r>
        <w:fldChar w:fldCharType="begin"/>
      </w:r>
      <w:r>
        <w:instrText xml:space="preserve"> PAGEREF _Toc31788 </w:instrText>
      </w:r>
      <w:r>
        <w:fldChar w:fldCharType="separate"/>
      </w:r>
      <w:r>
        <w:t>29</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_Toc2410 </w:instrText>
      </w:r>
      <w:r>
        <w:rPr>
          <w:rFonts w:hint="default"/>
          <w:lang w:val="en-US"/>
        </w:rPr>
        <w:fldChar w:fldCharType="separate"/>
      </w:r>
      <w:r>
        <w:rPr>
          <w:rFonts w:hint="eastAsia" w:ascii="黑体" w:hAnsi="Times New Roman" w:eastAsia="黑体"/>
          <w:i w:val="0"/>
          <w:szCs w:val="21"/>
          <w:lang w:val="en-US" w:eastAsia="zh-CN"/>
        </w:rPr>
        <w:t xml:space="preserve">13 </w:t>
      </w:r>
      <w:r>
        <w:rPr>
          <w:rFonts w:hint="default"/>
          <w:szCs w:val="22"/>
          <w:lang w:val="en-US" w:eastAsia="zh-CN"/>
        </w:rPr>
        <w:t>绩效评价</w:t>
      </w:r>
      <w:r>
        <w:tab/>
      </w:r>
      <w:r>
        <w:fldChar w:fldCharType="begin"/>
      </w:r>
      <w:r>
        <w:instrText xml:space="preserve"> PAGEREF _Toc2410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_Toc16556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13.1 </w:t>
      </w:r>
      <w:r>
        <w:rPr>
          <w:rFonts w:hint="default"/>
          <w:lang w:val="en-US" w:eastAsia="zh-CN"/>
        </w:rPr>
        <w:t>安全检查</w:t>
      </w:r>
      <w:r>
        <w:tab/>
      </w:r>
      <w:r>
        <w:fldChar w:fldCharType="begin"/>
      </w:r>
      <w:r>
        <w:instrText xml:space="preserve"> PAGEREF _Toc16556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_Toc18785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13.2 </w:t>
      </w:r>
      <w:r>
        <w:rPr>
          <w:rFonts w:hint="default"/>
          <w:lang w:val="en-US" w:eastAsia="zh-CN"/>
        </w:rPr>
        <w:t>绩效考核</w:t>
      </w:r>
      <w:r>
        <w:tab/>
      </w:r>
      <w:r>
        <w:fldChar w:fldCharType="begin"/>
      </w:r>
      <w:r>
        <w:instrText xml:space="preserve"> PAGEREF _Toc18785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13.3 </w:t>
      </w:r>
      <w:r>
        <w:rPr>
          <w:rFonts w:hint="eastAsia"/>
          <w:lang w:val="en-US" w:eastAsia="zh-CN"/>
        </w:rPr>
        <w:t>内部审核</w:t>
      </w:r>
      <w:r>
        <w:tab/>
      </w:r>
      <w:r>
        <w:fldChar w:fldCharType="begin"/>
      </w:r>
      <w:r>
        <w:instrText xml:space="preserve"> PAGEREF _Toc383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_Toc2399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13.4 </w:t>
      </w:r>
      <w:r>
        <w:rPr>
          <w:rFonts w:hint="default"/>
          <w:lang w:val="en-US" w:eastAsia="zh-CN"/>
        </w:rPr>
        <w:t>外部审核</w:t>
      </w:r>
      <w:r>
        <w:tab/>
      </w:r>
      <w:r>
        <w:fldChar w:fldCharType="begin"/>
      </w:r>
      <w:r>
        <w:instrText xml:space="preserve"> PAGEREF _Toc2399 </w:instrText>
      </w:r>
      <w:r>
        <w:fldChar w:fldCharType="separate"/>
      </w:r>
      <w:r>
        <w:t>31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_Toc11333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13.5 </w:t>
      </w:r>
      <w:r>
        <w:rPr>
          <w:rFonts w:hint="default"/>
          <w:lang w:val="en-US" w:eastAsia="zh-CN"/>
        </w:rPr>
        <w:t>管理评审</w:t>
      </w:r>
      <w:r>
        <w:tab/>
      </w:r>
      <w:r>
        <w:fldChar w:fldCharType="begin"/>
      </w:r>
      <w:r>
        <w:instrText xml:space="preserve"> PAGEREF _Toc11333 </w:instrText>
      </w:r>
      <w:r>
        <w:fldChar w:fldCharType="separate"/>
      </w:r>
      <w:r>
        <w:t>31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_Toc29301 </w:instrText>
      </w:r>
      <w:r>
        <w:rPr>
          <w:rFonts w:hint="default"/>
          <w:lang w:val="en-US"/>
        </w:rPr>
        <w:fldChar w:fldCharType="separate"/>
      </w:r>
      <w:r>
        <w:rPr>
          <w:rFonts w:hint="eastAsia" w:ascii="黑体" w:hAnsi="Times New Roman" w:eastAsia="黑体"/>
          <w:i w:val="0"/>
          <w:szCs w:val="21"/>
          <w:lang w:val="en-US" w:eastAsia="zh-CN"/>
        </w:rPr>
        <w:t xml:space="preserve">14 </w:t>
      </w:r>
      <w:r>
        <w:rPr>
          <w:rFonts w:hint="eastAsia"/>
          <w:szCs w:val="22"/>
          <w:lang w:val="en-US" w:eastAsia="zh-CN"/>
        </w:rPr>
        <w:t>改进</w:t>
      </w:r>
      <w:r>
        <w:tab/>
      </w:r>
      <w:r>
        <w:fldChar w:fldCharType="begin"/>
      </w:r>
      <w:r>
        <w:instrText xml:space="preserve"> PAGEREF _Toc29301 </w:instrText>
      </w:r>
      <w:r>
        <w:fldChar w:fldCharType="separate"/>
      </w:r>
      <w:r>
        <w:t>31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_Toc14319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14.1 </w:t>
      </w:r>
      <w:r>
        <w:rPr>
          <w:rFonts w:hint="default"/>
          <w:lang w:val="en-US" w:eastAsia="zh-CN"/>
        </w:rPr>
        <w:t>事故事件管理</w:t>
      </w:r>
      <w:r>
        <w:tab/>
      </w:r>
      <w:r>
        <w:fldChar w:fldCharType="begin"/>
      </w:r>
      <w:r>
        <w:instrText xml:space="preserve"> PAGEREF _Toc14319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_Toc29007 </w:instrText>
      </w:r>
      <w:r>
        <w:rPr>
          <w:rFonts w:hint="default"/>
          <w:lang w:val="en-US"/>
        </w:rPr>
        <w:fldChar w:fldCharType="separate"/>
      </w:r>
      <w:r>
        <w:rPr>
          <w:rFonts w:hint="eastAsia"/>
          <w:lang w:val="en-US" w:eastAsia="zh-CN"/>
        </w:rPr>
        <w:t>14.1.1报告</w:t>
      </w:r>
      <w:r>
        <w:tab/>
      </w:r>
      <w:r>
        <w:fldChar w:fldCharType="begin"/>
      </w:r>
      <w:r>
        <w:instrText xml:space="preserve"> PAGEREF _Toc29007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_Toc29176 </w:instrText>
      </w:r>
      <w:r>
        <w:rPr>
          <w:rFonts w:hint="default"/>
          <w:lang w:val="en-US"/>
        </w:rPr>
        <w:fldChar w:fldCharType="separate"/>
      </w:r>
      <w:r>
        <w:rPr>
          <w:rFonts w:hint="eastAsia"/>
          <w:lang w:val="en-US" w:eastAsia="zh-CN"/>
        </w:rPr>
        <w:t>14.1.2调查</w:t>
      </w:r>
      <w:r>
        <w:tab/>
      </w:r>
      <w:r>
        <w:fldChar w:fldCharType="begin"/>
      </w:r>
      <w:r>
        <w:instrText xml:space="preserve"> PAGEREF _Toc29176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_Toc19215 </w:instrText>
      </w:r>
      <w:r>
        <w:rPr>
          <w:rFonts w:hint="default"/>
          <w:lang w:val="en-US"/>
        </w:rPr>
        <w:fldChar w:fldCharType="separate"/>
      </w:r>
      <w:r>
        <w:rPr>
          <w:rFonts w:hint="eastAsia"/>
          <w:lang w:val="en-US" w:eastAsia="zh-CN"/>
        </w:rPr>
        <w:t>14.1.3统计与分析</w:t>
      </w:r>
      <w:r>
        <w:tab/>
      </w:r>
      <w:r>
        <w:fldChar w:fldCharType="begin"/>
      </w:r>
      <w:r>
        <w:instrText xml:space="preserve"> PAGEREF _Toc19215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_Toc6712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14.2 </w:t>
      </w:r>
      <w:r>
        <w:rPr>
          <w:rFonts w:hint="default"/>
          <w:lang w:val="en-US" w:eastAsia="zh-CN"/>
        </w:rPr>
        <w:t>不符合控制</w:t>
      </w:r>
      <w:r>
        <w:tab/>
      </w:r>
      <w:r>
        <w:fldChar w:fldCharType="begin"/>
      </w:r>
      <w:r>
        <w:instrText xml:space="preserve"> PAGEREF _Toc6712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_Toc15070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14.3 </w:t>
      </w:r>
      <w:r>
        <w:rPr>
          <w:rFonts w:hint="default"/>
          <w:lang w:val="en-US" w:eastAsia="zh-CN"/>
        </w:rPr>
        <w:t>纠正措施</w:t>
      </w:r>
      <w:r>
        <w:tab/>
      </w:r>
      <w:r>
        <w:fldChar w:fldCharType="begin"/>
      </w:r>
      <w:r>
        <w:instrText xml:space="preserve"> PAGEREF _Toc15070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_Toc31675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14.4 </w:t>
      </w:r>
      <w:r>
        <w:rPr>
          <w:rFonts w:hint="default"/>
          <w:lang w:val="en-US" w:eastAsia="zh-CN"/>
        </w:rPr>
        <w:t>持续改进</w:t>
      </w:r>
      <w:r>
        <w:tab/>
      </w:r>
      <w:r>
        <w:fldChar w:fldCharType="begin"/>
      </w:r>
      <w:r>
        <w:instrText xml:space="preserve"> PAGEREF _Toc31675 </w:instrText>
      </w:r>
      <w:r>
        <w:fldChar w:fldCharType="separate"/>
      </w:r>
      <w:r>
        <w:t>33</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_Toc4963 </w:instrText>
      </w:r>
      <w:r>
        <w:rPr>
          <w:rFonts w:hint="default"/>
          <w:lang w:val="en-US"/>
        </w:rPr>
        <w:fldChar w:fldCharType="separate"/>
      </w:r>
      <w:r>
        <w:rPr>
          <w:rFonts w:hint="eastAsia"/>
          <w:szCs w:val="22"/>
          <w:lang w:val="en-US" w:eastAsia="zh-CN"/>
        </w:rPr>
        <w:t>附录A 参考文献</w:t>
      </w:r>
      <w:r>
        <w:tab/>
      </w:r>
      <w:r>
        <w:fldChar w:fldCharType="begin"/>
      </w:r>
      <w:r>
        <w:instrText xml:space="preserve"> PAGEREF _Toc4963 </w:instrText>
      </w:r>
      <w:r>
        <w:fldChar w:fldCharType="separate"/>
      </w:r>
      <w:r>
        <w:t>34</w:t>
      </w:r>
      <w:r>
        <w:fldChar w:fldCharType="end"/>
      </w:r>
      <w:r>
        <w:rPr>
          <w:rFonts w:hint="default"/>
          <w:lang w:val="en-US"/>
        </w:rPr>
        <w:fldChar w:fldCharType="end"/>
      </w:r>
    </w:p>
    <w:p>
      <w:pPr>
        <w:pStyle w:val="21"/>
        <w:rPr>
          <w:rFonts w:hint="default"/>
          <w:lang w:val="en-US"/>
        </w:rPr>
      </w:pPr>
      <w:r>
        <w:rPr>
          <w:rFonts w:hint="default"/>
          <w:lang w:val="en-US"/>
        </w:rPr>
        <w:fldChar w:fldCharType="end"/>
      </w:r>
    </w:p>
    <w:p>
      <w:pPr>
        <w:pStyle w:val="88"/>
        <w:rPr>
          <w:rFonts w:hint="eastAsia"/>
        </w:rPr>
      </w:pPr>
      <w:bookmarkStart w:id="8" w:name="_Toc531104067"/>
      <w:bookmarkStart w:id="9" w:name="_Toc28870"/>
      <w:bookmarkStart w:id="10" w:name="_Toc20710"/>
      <w:r>
        <w:rPr>
          <w:rFonts w:hint="eastAsia"/>
        </w:rPr>
        <w:t>前</w:t>
      </w:r>
      <w:bookmarkStart w:id="11" w:name="BKQY"/>
      <w:r>
        <w:rPr>
          <w:rFonts w:hAnsi="黑体"/>
        </w:rPr>
        <w:t>  </w:t>
      </w:r>
      <w:r>
        <w:rPr>
          <w:rFonts w:hint="eastAsia"/>
        </w:rPr>
        <w:t>言</w:t>
      </w:r>
      <w:bookmarkEnd w:id="2"/>
      <w:bookmarkEnd w:id="3"/>
      <w:bookmarkEnd w:id="4"/>
      <w:bookmarkEnd w:id="5"/>
      <w:bookmarkEnd w:id="6"/>
      <w:bookmarkEnd w:id="8"/>
      <w:bookmarkEnd w:id="9"/>
      <w:bookmarkEnd w:id="10"/>
      <w:bookmarkEnd w:id="11"/>
    </w:p>
    <w:p>
      <w:pPr>
        <w:pStyle w:val="21"/>
        <w:rPr>
          <w:rFonts w:hint="eastAsia"/>
        </w:rPr>
      </w:pPr>
      <w:r>
        <w:rPr>
          <w:rFonts w:hint="eastAsia"/>
        </w:rPr>
        <w:t>本</w:t>
      </w:r>
      <w:r>
        <w:rPr>
          <w:rFonts w:hint="eastAsia"/>
          <w:lang w:val="en-US" w:eastAsia="zh-CN"/>
        </w:rPr>
        <w:t>文件</w:t>
      </w:r>
      <w:r>
        <w:rPr>
          <w:rFonts w:hint="eastAsia"/>
        </w:rPr>
        <w:t>按照GB/T 1.1-20</w:t>
      </w:r>
      <w:r>
        <w:rPr>
          <w:rFonts w:hint="eastAsia"/>
          <w:lang w:val="en-US" w:eastAsia="zh-CN"/>
        </w:rPr>
        <w:t>20</w:t>
      </w:r>
      <w:r>
        <w:rPr>
          <w:rFonts w:hint="eastAsia"/>
        </w:rPr>
        <w:t xml:space="preserve"> 《标准化工作导则 第1部分：标准</w:t>
      </w:r>
      <w:r>
        <w:rPr>
          <w:rFonts w:hint="eastAsia"/>
          <w:lang w:val="en-US" w:eastAsia="zh-CN"/>
        </w:rPr>
        <w:t>化文件</w:t>
      </w:r>
      <w:r>
        <w:rPr>
          <w:rFonts w:hint="eastAsia"/>
        </w:rPr>
        <w:t>的结构和</w:t>
      </w:r>
      <w:r>
        <w:rPr>
          <w:rFonts w:hint="eastAsia"/>
          <w:lang w:val="en-US" w:eastAsia="zh-CN"/>
        </w:rPr>
        <w:t>起草规则</w:t>
      </w:r>
      <w:r>
        <w:rPr>
          <w:rFonts w:hint="eastAsia"/>
        </w:rPr>
        <w:t>》</w:t>
      </w:r>
      <w:r>
        <w:rPr>
          <w:rFonts w:hint="eastAsia"/>
          <w:lang w:val="en-US" w:eastAsia="zh-CN"/>
        </w:rPr>
        <w:t>的规定</w:t>
      </w:r>
      <w:r>
        <w:rPr>
          <w:rFonts w:hint="eastAsia"/>
        </w:rPr>
        <w:t>起草。</w:t>
      </w:r>
    </w:p>
    <w:p>
      <w:pPr>
        <w:pStyle w:val="21"/>
        <w:rPr>
          <w:rFonts w:hint="eastAsia"/>
          <w:color w:val="auto"/>
        </w:rPr>
      </w:pPr>
      <w:r>
        <w:rPr>
          <w:rFonts w:hint="eastAsia" w:ascii="宋体" w:hAnsi="宋体" w:cs="ËÎÌå"/>
          <w:color w:val="auto"/>
          <w:kern w:val="0"/>
          <w:szCs w:val="21"/>
          <w:lang w:eastAsia="zh-CN"/>
        </w:rPr>
        <w:t>请注意</w:t>
      </w:r>
      <w:r>
        <w:rPr>
          <w:rFonts w:hint="eastAsia" w:ascii="宋体" w:hAnsi="宋体" w:cs="ËÎÌå"/>
          <w:color w:val="auto"/>
          <w:kern w:val="0"/>
          <w:szCs w:val="21"/>
        </w:rPr>
        <w:t>本文件的某些内容可能涉及专利。本文件的发布机构不承担识别专利的责任。</w:t>
      </w:r>
    </w:p>
    <w:p>
      <w:pPr>
        <w:autoSpaceDE w:val="0"/>
        <w:autoSpaceDN w:val="0"/>
        <w:adjustRightInd w:val="0"/>
        <w:ind w:firstLine="420" w:firstLineChars="200"/>
        <w:rPr>
          <w:rFonts w:ascii="宋体" w:hAnsi="宋体" w:cs="宋体"/>
          <w:color w:val="auto"/>
          <w:kern w:val="0"/>
          <w:szCs w:val="21"/>
        </w:rPr>
      </w:pPr>
      <w:r>
        <w:rPr>
          <w:rFonts w:hint="eastAsia" w:ascii="宋体" w:hAnsi="宋体" w:cs="宋体"/>
          <w:color w:val="auto"/>
          <w:kern w:val="0"/>
          <w:szCs w:val="21"/>
        </w:rPr>
        <w:t>本文件由</w:t>
      </w:r>
      <w:r>
        <w:rPr>
          <w:rFonts w:hint="eastAsia"/>
          <w:highlight w:val="none"/>
          <w:lang w:val="en-US" w:eastAsia="zh-CN"/>
        </w:rPr>
        <w:t>广东元韬企业管理咨询有限公司</w:t>
      </w:r>
      <w:r>
        <w:rPr>
          <w:rFonts w:hint="eastAsia" w:ascii="宋体" w:hAnsi="宋体" w:cs="宋体"/>
          <w:color w:val="auto"/>
          <w:kern w:val="0"/>
          <w:szCs w:val="21"/>
        </w:rPr>
        <w:t>提出。</w:t>
      </w:r>
    </w:p>
    <w:p>
      <w:pPr>
        <w:pStyle w:val="21"/>
        <w:rPr>
          <w:rFonts w:hint="eastAsia"/>
        </w:rPr>
      </w:pPr>
      <w:r>
        <w:rPr>
          <w:rFonts w:hint="eastAsia"/>
        </w:rPr>
        <w:t>本</w:t>
      </w:r>
      <w:r>
        <w:rPr>
          <w:rFonts w:hint="eastAsia"/>
          <w:lang w:val="en-US" w:eastAsia="zh-CN"/>
        </w:rPr>
        <w:t>文件</w:t>
      </w:r>
      <w:r>
        <w:rPr>
          <w:rFonts w:hint="eastAsia"/>
        </w:rPr>
        <w:t>由</w:t>
      </w:r>
      <w:r>
        <w:rPr>
          <w:rFonts w:hint="eastAsia"/>
          <w:lang w:val="en-US" w:eastAsia="zh-CN"/>
        </w:rPr>
        <w:t>广东省企业管理咨询协</w:t>
      </w:r>
      <w:r>
        <w:rPr>
          <w:rFonts w:hint="eastAsia"/>
        </w:rPr>
        <w:t>会</w:t>
      </w:r>
      <w:r>
        <w:rPr>
          <w:rFonts w:hint="eastAsia" w:ascii="宋体" w:hAnsi="宋体" w:cs="宋体"/>
          <w:color w:val="auto"/>
          <w:kern w:val="0"/>
          <w:szCs w:val="21"/>
        </w:rPr>
        <w:t>归口</w:t>
      </w:r>
      <w:r>
        <w:rPr>
          <w:rFonts w:hint="eastAsia"/>
        </w:rPr>
        <w:t>。</w:t>
      </w:r>
    </w:p>
    <w:p>
      <w:pPr>
        <w:pStyle w:val="21"/>
        <w:rPr>
          <w:rFonts w:hint="default"/>
          <w:highlight w:val="none"/>
          <w:lang w:val="en-US"/>
        </w:rPr>
      </w:pPr>
      <w:r>
        <w:rPr>
          <w:rFonts w:hint="eastAsia"/>
          <w:highlight w:val="none"/>
        </w:rPr>
        <w:t>本</w:t>
      </w:r>
      <w:r>
        <w:rPr>
          <w:rFonts w:hint="eastAsia"/>
          <w:highlight w:val="none"/>
          <w:lang w:val="en-US" w:eastAsia="zh-CN"/>
        </w:rPr>
        <w:t>文件</w:t>
      </w:r>
      <w:r>
        <w:rPr>
          <w:rFonts w:hint="eastAsia"/>
          <w:highlight w:val="none"/>
        </w:rPr>
        <w:t>起草</w:t>
      </w:r>
      <w:r>
        <w:rPr>
          <w:rFonts w:hint="eastAsia"/>
          <w:highlight w:val="none"/>
          <w:lang w:val="en-US" w:eastAsia="zh-CN"/>
        </w:rPr>
        <w:t>单位</w:t>
      </w:r>
      <w:r>
        <w:rPr>
          <w:rFonts w:hint="eastAsia"/>
          <w:highlight w:val="none"/>
        </w:rPr>
        <w:t>：</w:t>
      </w:r>
      <w:r>
        <w:rPr>
          <w:rFonts w:hint="eastAsia"/>
          <w:highlight w:val="none"/>
          <w:lang w:val="en-US" w:eastAsia="zh-CN"/>
        </w:rPr>
        <w:t>广东元韬企业管理咨询有限公司、广州策佳企业管理咨询有限公司、中科国际认证（广东）有限公司、中国安能集团第一工程局、</w:t>
      </w:r>
      <w:bookmarkStart w:id="348" w:name="_GoBack"/>
      <w:bookmarkEnd w:id="348"/>
      <w:r>
        <w:rPr>
          <w:rFonts w:hint="eastAsia"/>
          <w:highlight w:val="none"/>
          <w:lang w:val="en-US" w:eastAsia="zh-CN"/>
        </w:rPr>
        <w:t>广州市建鋐建筑技术咨询有限公司</w:t>
      </w:r>
    </w:p>
    <w:p>
      <w:pPr>
        <w:pStyle w:val="21"/>
        <w:rPr>
          <w:rFonts w:hint="default"/>
          <w:highlight w:val="none"/>
          <w:lang w:val="en-US" w:eastAsia="zh-CN"/>
        </w:rPr>
      </w:pPr>
      <w:r>
        <w:rPr>
          <w:rFonts w:hint="eastAsia"/>
          <w:highlight w:val="none"/>
        </w:rPr>
        <w:t>本</w:t>
      </w:r>
      <w:r>
        <w:rPr>
          <w:rFonts w:hint="eastAsia"/>
          <w:highlight w:val="none"/>
          <w:lang w:val="en-US" w:eastAsia="zh-CN"/>
        </w:rPr>
        <w:t>文件</w:t>
      </w:r>
      <w:r>
        <w:rPr>
          <w:rFonts w:hint="eastAsia"/>
          <w:highlight w:val="none"/>
        </w:rPr>
        <w:t>主要起草人：</w:t>
      </w:r>
      <w:r>
        <w:rPr>
          <w:rFonts w:hint="eastAsia"/>
          <w:highlight w:val="none"/>
          <w:lang w:val="en-US" w:eastAsia="zh-CN"/>
        </w:rPr>
        <w:t>黄涛、陈勇达、</w:t>
      </w:r>
      <w:r>
        <w:rPr>
          <w:rFonts w:hint="eastAsia"/>
          <w:highlight w:val="none"/>
        </w:rPr>
        <w:t>熊德甫、郑爱惜、龙建新、詹博</w:t>
      </w:r>
      <w:r>
        <w:rPr>
          <w:rFonts w:hint="eastAsia"/>
          <w:highlight w:val="none"/>
          <w:lang w:eastAsia="zh-CN"/>
        </w:rPr>
        <w:t>、</w:t>
      </w:r>
      <w:r>
        <w:rPr>
          <w:rFonts w:hint="eastAsia"/>
          <w:highlight w:val="none"/>
          <w:lang w:val="en-US" w:eastAsia="zh-CN"/>
        </w:rPr>
        <w:t>刘浩然、周毅、郑源、皇甫学真、张明辉、黄中广、曾建军、赵玉鄂、马建军</w:t>
      </w:r>
    </w:p>
    <w:p>
      <w:pPr>
        <w:autoSpaceDE w:val="0"/>
        <w:autoSpaceDN w:val="0"/>
        <w:adjustRightInd w:val="0"/>
        <w:ind w:firstLine="420" w:firstLineChars="200"/>
        <w:jc w:val="left"/>
        <w:rPr>
          <w:rFonts w:hint="eastAsia"/>
        </w:rPr>
      </w:pPr>
      <w:r>
        <w:rPr>
          <w:rFonts w:hint="eastAsia"/>
        </w:rPr>
        <w:t>本</w:t>
      </w:r>
      <w:r>
        <w:rPr>
          <w:rFonts w:hint="eastAsia"/>
          <w:lang w:val="en-US" w:eastAsia="zh-CN"/>
        </w:rPr>
        <w:t>文件</w:t>
      </w:r>
      <w:r>
        <w:rPr>
          <w:rFonts w:hint="eastAsia"/>
        </w:rPr>
        <w:t>为首次发布。</w:t>
      </w:r>
    </w:p>
    <w:p>
      <w:pPr>
        <w:pStyle w:val="21"/>
        <w:rPr>
          <w:rFonts w:hint="eastAsia"/>
        </w:rPr>
      </w:pPr>
    </w:p>
    <w:p>
      <w:pPr>
        <w:pStyle w:val="21"/>
        <w:rPr>
          <w:rFonts w:hint="default"/>
          <w:lang w:val="en-US" w:eastAsia="zh-CN"/>
        </w:rPr>
      </w:pPr>
    </w:p>
    <w:p>
      <w:pPr>
        <w:pStyle w:val="88"/>
        <w:rPr>
          <w:rFonts w:hint="eastAsia"/>
        </w:rPr>
      </w:pPr>
      <w:bookmarkStart w:id="12" w:name="_Toc26911"/>
      <w:r>
        <w:rPr>
          <w:rFonts w:hint="eastAsia"/>
          <w:lang w:val="en-US" w:eastAsia="zh-CN"/>
        </w:rPr>
        <w:t>引</w:t>
      </w:r>
      <w:r>
        <w:rPr>
          <w:rFonts w:hAnsi="黑体"/>
        </w:rPr>
        <w:t>  </w:t>
      </w:r>
      <w:r>
        <w:rPr>
          <w:rFonts w:hint="eastAsia"/>
        </w:rPr>
        <w:t>言</w:t>
      </w:r>
      <w:bookmarkEnd w:id="12"/>
    </w:p>
    <w:p>
      <w:pPr>
        <w:autoSpaceDE w:val="0"/>
        <w:autoSpaceDN w:val="0"/>
        <w:adjustRightInd w:val="0"/>
        <w:ind w:firstLine="420" w:firstLineChars="200"/>
        <w:jc w:val="left"/>
        <w:rPr>
          <w:rFonts w:hint="eastAsia"/>
          <w:lang w:val="en-US" w:eastAsia="zh-CN"/>
        </w:rPr>
      </w:pPr>
      <w:r>
        <w:rPr>
          <w:rFonts w:hint="eastAsia"/>
          <w:lang w:val="en-US" w:eastAsia="zh-CN"/>
        </w:rPr>
        <w:t>国家越来越重视安全生产工作，在国家安全发展战略的一系列重大举措下，将“安全发展”理念纳入“新发展理念”范畴，与创新、协调、开放、绿色、共享并列，贯穿经济和社会发展的各环节各领域，成为中国经济社会发展的新品牌。</w:t>
      </w:r>
    </w:p>
    <w:p>
      <w:pPr>
        <w:autoSpaceDE w:val="0"/>
        <w:autoSpaceDN w:val="0"/>
        <w:adjustRightInd w:val="0"/>
        <w:ind w:firstLine="420" w:firstLineChars="200"/>
        <w:jc w:val="left"/>
        <w:rPr>
          <w:rFonts w:hint="eastAsia"/>
          <w:lang w:val="en-US" w:eastAsia="zh-CN"/>
        </w:rPr>
      </w:pPr>
      <w:r>
        <w:rPr>
          <w:rFonts w:hint="eastAsia"/>
        </w:rPr>
        <w:t>在安全生产领域，国家专门制定了一系列安全生产相关</w:t>
      </w:r>
      <w:r>
        <w:rPr>
          <w:rFonts w:hint="eastAsia"/>
          <w:lang w:val="en-US" w:eastAsia="zh-CN"/>
        </w:rPr>
        <w:t>法律法规，随着安全生产法的修订，首次将构建安全风险分级管控和隐患排查治理双重预防体系纳入到国家法律法规层面。</w:t>
      </w:r>
    </w:p>
    <w:p>
      <w:pPr>
        <w:autoSpaceDE w:val="0"/>
        <w:autoSpaceDN w:val="0"/>
        <w:adjustRightInd w:val="0"/>
        <w:ind w:firstLine="420" w:firstLineChars="200"/>
        <w:jc w:val="left"/>
        <w:rPr>
          <w:rFonts w:hint="eastAsia" w:eastAsia="宋体"/>
          <w:lang w:val="en-US" w:eastAsia="zh-CN"/>
        </w:rPr>
      </w:pPr>
      <w:r>
        <w:rPr>
          <w:rFonts w:hint="eastAsia"/>
          <w:lang w:val="en-US" w:eastAsia="zh-CN"/>
        </w:rPr>
        <w:t>为了契合安全风险分级管控和隐患排查治理双重预防体系的要求，结合企业安全生产工作需要，本标准在基于法律法规</w:t>
      </w:r>
      <w:r>
        <w:rPr>
          <w:rFonts w:hint="eastAsia"/>
          <w:lang w:eastAsia="zh-CN"/>
        </w:rPr>
        <w:t>、</w:t>
      </w:r>
      <w:r>
        <w:rPr>
          <w:rFonts w:hint="eastAsia"/>
          <w:lang w:val="en-US" w:eastAsia="zh-CN"/>
        </w:rPr>
        <w:t>政策及技术背景的前提下，为企业的</w:t>
      </w:r>
      <w:r>
        <w:rPr>
          <w:rFonts w:hint="eastAsia"/>
        </w:rPr>
        <w:t>安全管理提供</w:t>
      </w:r>
      <w:r>
        <w:rPr>
          <w:rFonts w:hint="eastAsia"/>
          <w:lang w:val="en-US" w:eastAsia="zh-CN"/>
        </w:rPr>
        <w:t>一套全面的、规范的</w:t>
      </w:r>
      <w:r>
        <w:rPr>
          <w:rFonts w:hint="eastAsia"/>
        </w:rPr>
        <w:t>框架</w:t>
      </w:r>
      <w:r>
        <w:rPr>
          <w:rFonts w:hint="eastAsia"/>
          <w:lang w:eastAsia="zh-CN"/>
        </w:rPr>
        <w:t>，</w:t>
      </w:r>
      <w:r>
        <w:rPr>
          <w:rFonts w:hint="eastAsia"/>
        </w:rPr>
        <w:t>旨在使企业能够提供安全和健康的工作环境，预防与工作有关的伤害和健康损害</w:t>
      </w:r>
      <w:r>
        <w:rPr>
          <w:rFonts w:hint="eastAsia"/>
          <w:lang w:eastAsia="zh-CN"/>
        </w:rPr>
        <w:t>、</w:t>
      </w:r>
      <w:r>
        <w:rPr>
          <w:rFonts w:hint="eastAsia"/>
        </w:rPr>
        <w:t>环境污染</w:t>
      </w:r>
      <w:r>
        <w:rPr>
          <w:rFonts w:hint="eastAsia"/>
          <w:lang w:val="en-US" w:eastAsia="zh-CN"/>
        </w:rPr>
        <w:t>等</w:t>
      </w:r>
      <w:r>
        <w:rPr>
          <w:rFonts w:hint="eastAsia"/>
        </w:rPr>
        <w:t>，帮助企业满足合规义务，起到合规申明的作用</w:t>
      </w:r>
      <w:r>
        <w:rPr>
          <w:rFonts w:hint="eastAsia"/>
          <w:lang w:eastAsia="zh-CN"/>
        </w:rPr>
        <w:t>，</w:t>
      </w:r>
      <w:r>
        <w:rPr>
          <w:rFonts w:hint="eastAsia"/>
        </w:rPr>
        <w:t>并持续改进其安全管理绩效。</w:t>
      </w:r>
    </w:p>
    <w:p>
      <w:pPr>
        <w:autoSpaceDE w:val="0"/>
        <w:autoSpaceDN w:val="0"/>
        <w:adjustRightInd w:val="0"/>
        <w:ind w:firstLine="420" w:firstLineChars="200"/>
        <w:jc w:val="left"/>
        <w:rPr>
          <w:rFonts w:hint="eastAsia"/>
        </w:rPr>
      </w:pPr>
      <w:r>
        <w:rPr>
          <w:rFonts w:hint="eastAsia"/>
        </w:rPr>
        <w:t>实施</w:t>
      </w:r>
      <w:r>
        <w:rPr>
          <w:rFonts w:hint="eastAsia"/>
          <w:lang w:val="en-US" w:eastAsia="zh-CN"/>
        </w:rPr>
        <w:t>本标准</w:t>
      </w:r>
      <w:r>
        <w:rPr>
          <w:rFonts w:hint="eastAsia"/>
        </w:rPr>
        <w:t>是企业的战略和经营决策</w:t>
      </w:r>
      <w:r>
        <w:rPr>
          <w:rFonts w:hint="eastAsia"/>
          <w:lang w:eastAsia="zh-CN"/>
        </w:rPr>
        <w:t>，</w:t>
      </w:r>
      <w:r>
        <w:rPr>
          <w:rFonts w:hint="eastAsia"/>
          <w:lang w:val="en-US" w:eastAsia="zh-CN"/>
        </w:rPr>
        <w:t>属自愿性行为</w:t>
      </w:r>
      <w:r>
        <w:rPr>
          <w:rFonts w:hint="eastAsia"/>
        </w:rPr>
        <w:t>。</w:t>
      </w:r>
    </w:p>
    <w:p>
      <w:pPr>
        <w:autoSpaceDE w:val="0"/>
        <w:autoSpaceDN w:val="0"/>
        <w:adjustRightInd w:val="0"/>
        <w:ind w:firstLine="420" w:firstLineChars="200"/>
        <w:jc w:val="left"/>
        <w:rPr>
          <w:rFonts w:hint="eastAsia"/>
        </w:rPr>
      </w:pPr>
      <w:r>
        <w:rPr>
          <w:rFonts w:hint="eastAsia"/>
        </w:rPr>
        <w:t>本标准包含了企业可用于实施安全与风险综合管理体系和符合性评价的要求。</w:t>
      </w:r>
    </w:p>
    <w:p>
      <w:pPr>
        <w:autoSpaceDE w:val="0"/>
        <w:autoSpaceDN w:val="0"/>
        <w:adjustRightInd w:val="0"/>
        <w:ind w:firstLine="420" w:firstLineChars="200"/>
        <w:jc w:val="left"/>
      </w:pPr>
      <w:r>
        <w:rPr>
          <w:rFonts w:hint="eastAsia"/>
        </w:rPr>
        <w:t>企业如果要证实符合本标准，可以采用以下方式：</w:t>
      </w:r>
    </w:p>
    <w:p>
      <w:pPr>
        <w:autoSpaceDE w:val="0"/>
        <w:autoSpaceDN w:val="0"/>
        <w:adjustRightInd w:val="0"/>
        <w:ind w:firstLine="420" w:firstLineChars="200"/>
        <w:jc w:val="left"/>
      </w:pPr>
      <w:r>
        <w:rPr>
          <w:rFonts w:hint="eastAsia"/>
        </w:rPr>
        <w:t>——进行自我决定和自我声明；</w:t>
      </w:r>
    </w:p>
    <w:p>
      <w:pPr>
        <w:autoSpaceDE w:val="0"/>
        <w:autoSpaceDN w:val="0"/>
        <w:adjustRightInd w:val="0"/>
        <w:ind w:firstLine="420" w:firstLineChars="200"/>
        <w:jc w:val="left"/>
      </w:pPr>
      <w:r>
        <w:rPr>
          <w:rFonts w:hint="eastAsia"/>
        </w:rPr>
        <w:t>——寻求对企业有兴趣的相关方对其符合性进行确认，例如：顾客；</w:t>
      </w:r>
    </w:p>
    <w:p>
      <w:pPr>
        <w:autoSpaceDE w:val="0"/>
        <w:autoSpaceDN w:val="0"/>
        <w:adjustRightInd w:val="0"/>
        <w:ind w:firstLine="420" w:firstLineChars="200"/>
        <w:jc w:val="left"/>
      </w:pPr>
      <w:r>
        <w:rPr>
          <w:rFonts w:hint="eastAsia"/>
        </w:rPr>
        <w:t>——寻求企业的外部机构对其自我声明进行确认；</w:t>
      </w:r>
    </w:p>
    <w:p>
      <w:pPr>
        <w:autoSpaceDE w:val="0"/>
        <w:autoSpaceDN w:val="0"/>
        <w:adjustRightInd w:val="0"/>
        <w:ind w:firstLine="420" w:firstLineChars="200"/>
        <w:jc w:val="left"/>
      </w:pPr>
      <w:r>
        <w:rPr>
          <w:rFonts w:hint="eastAsia"/>
        </w:rPr>
        <w:t>——寻求外部企业对其安全与风险综合管理体系进行评审或注册。</w:t>
      </w:r>
    </w:p>
    <w:p>
      <w:pPr>
        <w:autoSpaceDE w:val="0"/>
        <w:autoSpaceDN w:val="0"/>
        <w:adjustRightInd w:val="0"/>
        <w:ind w:firstLine="420" w:firstLineChars="200"/>
        <w:jc w:val="left"/>
      </w:pPr>
      <w:r>
        <w:rPr>
          <w:rFonts w:hint="eastAsia"/>
        </w:rPr>
        <w:t>本标准使用以下助动词：</w:t>
      </w:r>
    </w:p>
    <w:p>
      <w:pPr>
        <w:autoSpaceDE w:val="0"/>
        <w:autoSpaceDN w:val="0"/>
        <w:adjustRightInd w:val="0"/>
        <w:ind w:firstLine="420" w:firstLineChars="200"/>
        <w:jc w:val="left"/>
      </w:pPr>
      <w:r>
        <w:rPr>
          <w:rFonts w:hint="eastAsia"/>
        </w:rPr>
        <w:t>——“应”</w:t>
      </w:r>
      <w:r>
        <w:rPr>
          <w:rFonts w:hint="eastAsia"/>
          <w:lang w:val="en-US" w:eastAsia="zh-CN"/>
        </w:rPr>
        <w:t>表</w:t>
      </w:r>
      <w:r>
        <w:rPr>
          <w:rFonts w:hint="eastAsia"/>
        </w:rPr>
        <w:t>示要求；</w:t>
      </w:r>
    </w:p>
    <w:p>
      <w:pPr>
        <w:autoSpaceDE w:val="0"/>
        <w:autoSpaceDN w:val="0"/>
        <w:adjustRightInd w:val="0"/>
        <w:ind w:firstLine="420" w:firstLineChars="200"/>
        <w:jc w:val="left"/>
      </w:pPr>
      <w:r>
        <w:rPr>
          <w:rFonts w:hint="eastAsia"/>
        </w:rPr>
        <w:t>——“宜”表示建议；</w:t>
      </w:r>
    </w:p>
    <w:p>
      <w:pPr>
        <w:autoSpaceDE w:val="0"/>
        <w:autoSpaceDN w:val="0"/>
        <w:adjustRightInd w:val="0"/>
        <w:ind w:firstLine="420" w:firstLineChars="200"/>
        <w:jc w:val="left"/>
        <w:rPr>
          <w:rFonts w:hint="eastAsia"/>
        </w:rPr>
      </w:pPr>
      <w:r>
        <w:rPr>
          <w:rFonts w:hint="eastAsia"/>
        </w:rPr>
        <w:t>——“可”表示允许；</w:t>
      </w:r>
    </w:p>
    <w:p>
      <w:pPr>
        <w:autoSpaceDE w:val="0"/>
        <w:autoSpaceDN w:val="0"/>
        <w:adjustRightInd w:val="0"/>
        <w:ind w:firstLine="420" w:firstLineChars="200"/>
        <w:jc w:val="left"/>
        <w:rPr>
          <w:rFonts w:hint="eastAsia"/>
        </w:rPr>
      </w:pPr>
      <w:r>
        <w:rPr>
          <w:rFonts w:hint="eastAsia"/>
        </w:rPr>
        <w:t>——“能”表示可能或能够。</w:t>
      </w:r>
    </w:p>
    <w:p>
      <w:pPr>
        <w:autoSpaceDE w:val="0"/>
        <w:autoSpaceDN w:val="0"/>
        <w:adjustRightInd w:val="0"/>
        <w:ind w:firstLine="420" w:firstLineChars="200"/>
        <w:jc w:val="left"/>
        <w:rPr>
          <w:rFonts w:hint="default"/>
          <w:lang w:val="en-US" w:eastAsia="zh-CN"/>
        </w:rPr>
      </w:pPr>
    </w:p>
    <w:p>
      <w:pPr>
        <w:autoSpaceDE w:val="0"/>
        <w:autoSpaceDN w:val="0"/>
        <w:adjustRightInd w:val="0"/>
        <w:ind w:firstLine="420" w:firstLineChars="200"/>
        <w:jc w:val="left"/>
        <w:rPr>
          <w:rFonts w:hint="eastAsia"/>
          <w:lang w:val="en-US" w:eastAsia="zh-CN"/>
        </w:rPr>
      </w:pPr>
    </w:p>
    <w:p>
      <w:pPr>
        <w:pStyle w:val="96"/>
        <w:jc w:val="both"/>
        <w:rPr>
          <w:rFonts w:hint="eastAsia"/>
          <w:lang w:val="en-US" w:eastAsia="zh-CN"/>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96"/>
        <w:rPr>
          <w:rFonts w:hint="default" w:eastAsia="黑体"/>
          <w:lang w:val="en-US" w:eastAsia="zh-CN"/>
        </w:rPr>
      </w:pPr>
      <w:r>
        <w:rPr>
          <w:rFonts w:hint="eastAsia"/>
          <w:lang w:val="en-US" w:eastAsia="zh-CN"/>
        </w:rPr>
        <w:t>安全与风险综合管理体系</w:t>
      </w:r>
    </w:p>
    <w:p>
      <w:pPr>
        <w:pStyle w:val="94"/>
        <w:rPr>
          <w:rFonts w:hint="eastAsia"/>
        </w:rPr>
      </w:pPr>
      <w:bookmarkStart w:id="13" w:name="_Toc17495"/>
      <w:bookmarkStart w:id="14" w:name="_Toc4267"/>
      <w:bookmarkStart w:id="15" w:name="_Toc15448"/>
      <w:r>
        <w:rPr>
          <w:rFonts w:hint="eastAsia"/>
        </w:rPr>
        <w:t>范围</w:t>
      </w:r>
      <w:bookmarkEnd w:id="13"/>
      <w:bookmarkEnd w:id="14"/>
      <w:bookmarkEnd w:id="15"/>
    </w:p>
    <w:p>
      <w:pPr>
        <w:pStyle w:val="21"/>
      </w:pPr>
      <w:r>
        <w:rPr>
          <w:rFonts w:hint="eastAsia"/>
        </w:rPr>
        <w:t>本标准规定了安全与风险综合管理体系的要求，使企业能够通过系统性的管理方法建立风险分级管控和隐患排查治理双重预防</w:t>
      </w:r>
      <w:r>
        <w:rPr>
          <w:rFonts w:hint="eastAsia"/>
          <w:lang w:val="en-US" w:eastAsia="zh-CN"/>
        </w:rPr>
        <w:t>体系</w:t>
      </w:r>
      <w:r>
        <w:rPr>
          <w:rFonts w:hint="eastAsia"/>
        </w:rPr>
        <w:t>，防止与工作相关的伤害和健康损害，主动改进安全管理绩效并提供安全和健康的工作环境。</w:t>
      </w:r>
    </w:p>
    <w:p>
      <w:pPr>
        <w:pStyle w:val="21"/>
      </w:pPr>
      <w:r>
        <w:rPr>
          <w:rFonts w:hint="eastAsia"/>
        </w:rPr>
        <w:t>本标准适用于任何具有以下愿望的企业：通过建立、实施和保持安全与风险综合管理体系，以分级管控与安全有关的风险，排查治理隐患，系统实现安全管理绩效。</w:t>
      </w:r>
    </w:p>
    <w:p>
      <w:pPr>
        <w:pStyle w:val="21"/>
      </w:pPr>
      <w:r>
        <w:rPr>
          <w:rFonts w:hint="eastAsia"/>
        </w:rPr>
        <w:t>本标准有助于企业实现其安全与风险综合管理体系的预期结果，包括：</w:t>
      </w:r>
    </w:p>
    <w:p>
      <w:pPr>
        <w:pStyle w:val="21"/>
        <w:numPr>
          <w:ilvl w:val="0"/>
          <w:numId w:val="18"/>
        </w:numPr>
      </w:pPr>
      <w:r>
        <w:rPr>
          <w:rFonts w:hint="eastAsia"/>
        </w:rPr>
        <w:t>满足合规义务；</w:t>
      </w:r>
    </w:p>
    <w:p>
      <w:pPr>
        <w:pStyle w:val="21"/>
        <w:numPr>
          <w:ilvl w:val="0"/>
          <w:numId w:val="18"/>
        </w:numPr>
      </w:pPr>
      <w:r>
        <w:rPr>
          <w:rFonts w:hint="eastAsia"/>
        </w:rPr>
        <w:t>持续改进安全管理绩效；</w:t>
      </w:r>
    </w:p>
    <w:p>
      <w:pPr>
        <w:pStyle w:val="21"/>
        <w:numPr>
          <w:ilvl w:val="0"/>
          <w:numId w:val="18"/>
        </w:numPr>
        <w:rPr>
          <w:rFonts w:hint="default"/>
          <w:lang w:val="en-US" w:eastAsia="zh-CN"/>
        </w:rPr>
      </w:pPr>
      <w:r>
        <w:rPr>
          <w:rFonts w:hint="eastAsia"/>
        </w:rPr>
        <w:t>形成良好的安全文化氛围。</w:t>
      </w:r>
    </w:p>
    <w:p>
      <w:pPr>
        <w:pStyle w:val="94"/>
        <w:rPr>
          <w:rFonts w:hint="eastAsia"/>
        </w:rPr>
      </w:pPr>
      <w:bookmarkStart w:id="16" w:name="_Toc16577"/>
      <w:bookmarkStart w:id="17" w:name="_Toc6677"/>
      <w:bookmarkStart w:id="18" w:name="_Toc10419"/>
      <w:r>
        <w:rPr>
          <w:rFonts w:hint="eastAsia"/>
        </w:rPr>
        <w:t>规范性引用文件</w:t>
      </w:r>
      <w:bookmarkEnd w:id="16"/>
      <w:bookmarkEnd w:id="17"/>
      <w:bookmarkEnd w:id="18"/>
    </w:p>
    <w:p>
      <w:pPr>
        <w:pStyle w:val="21"/>
        <w:rPr>
          <w:rFonts w:hint="default" w:eastAsia="宋体"/>
          <w:lang w:val="en-US" w:eastAsia="zh-CN"/>
        </w:rPr>
      </w:pPr>
      <w:r>
        <w:rPr>
          <w:rFonts w:hint="eastAsia"/>
          <w:i w:val="0"/>
          <w:iCs w:val="0"/>
          <w:lang w:val="en-US" w:eastAsia="zh-CN"/>
        </w:rPr>
        <w:t>本标准无规范性引用文件。</w:t>
      </w:r>
    </w:p>
    <w:p>
      <w:pPr>
        <w:pStyle w:val="94"/>
        <w:rPr>
          <w:rFonts w:hint="eastAsia"/>
        </w:rPr>
      </w:pPr>
      <w:bookmarkStart w:id="19" w:name="_Toc17529"/>
      <w:bookmarkStart w:id="20" w:name="_Toc14490"/>
      <w:bookmarkStart w:id="21" w:name="_Toc28618"/>
      <w:r>
        <w:rPr>
          <w:rFonts w:hint="eastAsia"/>
          <w:lang w:val="en-US" w:eastAsia="zh-CN"/>
        </w:rPr>
        <w:t>术语和定义</w:t>
      </w:r>
      <w:bookmarkEnd w:id="19"/>
      <w:bookmarkEnd w:id="20"/>
      <w:bookmarkEnd w:id="21"/>
    </w:p>
    <w:p>
      <w:pPr>
        <w:pStyle w:val="21"/>
        <w:rPr>
          <w:rFonts w:hint="eastAsia"/>
          <w:lang w:val="en-US" w:eastAsia="zh-CN"/>
        </w:rPr>
      </w:pPr>
      <w:r>
        <w:rPr>
          <w:rFonts w:hint="eastAsia"/>
          <w:lang w:val="en-US" w:eastAsia="zh-CN"/>
        </w:rPr>
        <w:t>下列术语和定义适用于本标准。</w:t>
      </w:r>
    </w:p>
    <w:p>
      <w:pPr>
        <w:pStyle w:val="51"/>
        <w:bidi w:val="0"/>
        <w:ind w:left="0" w:leftChars="0" w:firstLine="0" w:firstLineChars="0"/>
        <w:rPr>
          <w:rFonts w:hint="default"/>
          <w:lang w:val="en-US" w:eastAsia="zh-CN"/>
        </w:rPr>
      </w:pPr>
      <w:bookmarkStart w:id="22" w:name="_Toc29022"/>
      <w:bookmarkStart w:id="23" w:name="_Toc21967"/>
      <w:bookmarkStart w:id="24" w:name="_Toc21104"/>
      <w:r>
        <w:rPr>
          <w:rFonts w:hint="eastAsia"/>
          <w:lang w:val="en-US" w:eastAsia="zh-CN"/>
        </w:rPr>
        <w:t>安全与风险综合管理体系</w:t>
      </w:r>
      <w:bookmarkEnd w:id="22"/>
      <w:bookmarkEnd w:id="23"/>
    </w:p>
    <w:p>
      <w:pPr>
        <w:pStyle w:val="21"/>
        <w:rPr>
          <w:rFonts w:hint="default"/>
          <w:lang w:val="en-US" w:eastAsia="zh-CN"/>
        </w:rPr>
      </w:pPr>
      <w:r>
        <w:rPr>
          <w:rFonts w:hint="eastAsia"/>
          <w:lang w:val="en-US" w:eastAsia="zh-CN"/>
        </w:rPr>
        <w:t>紧紧围绕“安全第一，预防为主，综合治理”，充分融合风险分级管控和隐患排查治理双重预防体系，通过系统化</w:t>
      </w:r>
      <w:r>
        <w:rPr>
          <w:rFonts w:hint="eastAsia"/>
        </w:rPr>
        <w:t>的管理方法建立</w:t>
      </w:r>
      <w:r>
        <w:rPr>
          <w:rFonts w:hint="eastAsia"/>
          <w:lang w:val="en-US" w:eastAsia="zh-CN"/>
        </w:rPr>
        <w:t>一套适合于企业安全生产管理要求的综合管理体系</w:t>
      </w:r>
      <w:r>
        <w:rPr>
          <w:rFonts w:hint="eastAsia"/>
        </w:rPr>
        <w:t>，</w:t>
      </w:r>
      <w:r>
        <w:rPr>
          <w:rFonts w:hint="eastAsia"/>
          <w:lang w:val="en-US" w:eastAsia="zh-CN"/>
        </w:rPr>
        <w:t>并持续</w:t>
      </w:r>
      <w:r>
        <w:rPr>
          <w:rFonts w:hint="eastAsia"/>
        </w:rPr>
        <w:t>改进</w:t>
      </w:r>
      <w:r>
        <w:rPr>
          <w:rFonts w:hint="eastAsia"/>
          <w:lang w:val="en-US" w:eastAsia="zh-CN"/>
        </w:rPr>
        <w:t>企业</w:t>
      </w:r>
      <w:r>
        <w:rPr>
          <w:rFonts w:hint="eastAsia"/>
        </w:rPr>
        <w:t>安全管理绩效</w:t>
      </w:r>
      <w:r>
        <w:rPr>
          <w:rFonts w:hint="eastAsia"/>
          <w:lang w:val="en-US" w:eastAsia="zh-CN"/>
        </w:rPr>
        <w:t>。</w:t>
      </w:r>
    </w:p>
    <w:p>
      <w:pPr>
        <w:pStyle w:val="51"/>
        <w:bidi w:val="0"/>
        <w:ind w:left="0" w:leftChars="0" w:firstLine="0" w:firstLineChars="0"/>
        <w:rPr>
          <w:rFonts w:hint="default"/>
          <w:lang w:val="en-US" w:eastAsia="zh-CN"/>
        </w:rPr>
      </w:pPr>
      <w:bookmarkStart w:id="25" w:name="_Toc8060"/>
      <w:bookmarkStart w:id="26" w:name="_Toc7750"/>
      <w:r>
        <w:rPr>
          <w:rFonts w:hint="eastAsia"/>
          <w:lang w:val="en-US" w:eastAsia="zh-CN"/>
        </w:rPr>
        <w:t>合规义务</w:t>
      </w:r>
      <w:bookmarkEnd w:id="24"/>
      <w:bookmarkEnd w:id="25"/>
      <w:bookmarkEnd w:id="26"/>
    </w:p>
    <w:p>
      <w:pPr>
        <w:pStyle w:val="21"/>
        <w:rPr>
          <w:rFonts w:hint="eastAsia"/>
          <w:lang w:val="en-US" w:eastAsia="zh-CN"/>
        </w:rPr>
      </w:pPr>
      <w:r>
        <w:rPr>
          <w:rFonts w:hint="eastAsia"/>
          <w:lang w:val="en-US" w:eastAsia="zh-CN"/>
        </w:rPr>
        <w:t>企业必须遵守的法律法规要求，以及企业必须遵守或选择遵守的其他要求。</w:t>
      </w:r>
    </w:p>
    <w:p>
      <w:pPr>
        <w:pStyle w:val="21"/>
        <w:rPr>
          <w:rFonts w:hint="eastAsia"/>
          <w:lang w:val="en-US" w:eastAsia="zh-CN"/>
        </w:rPr>
      </w:pPr>
      <w:r>
        <w:rPr>
          <w:rFonts w:hint="eastAsia"/>
          <w:lang w:val="en-US" w:eastAsia="zh-CN"/>
        </w:rPr>
        <w:t>注1：合规义务是和安全与风险综合管理体系相关的。</w:t>
      </w:r>
    </w:p>
    <w:p>
      <w:pPr>
        <w:pStyle w:val="21"/>
        <w:rPr>
          <w:rFonts w:hint="eastAsia"/>
          <w:lang w:val="en-US" w:eastAsia="zh-CN"/>
        </w:rPr>
      </w:pPr>
      <w:r>
        <w:rPr>
          <w:rFonts w:hint="eastAsia"/>
          <w:lang w:val="en-US" w:eastAsia="zh-CN"/>
        </w:rPr>
        <w:t>注2：合规义务可能来自于强制性要求，例如：适用的法律和法规，或来自于自愿性承诺，例如：企业的和行业的标准、合同规定、操作规程、与社团或非政府组织间的协议。</w:t>
      </w:r>
    </w:p>
    <w:p>
      <w:pPr>
        <w:pStyle w:val="51"/>
        <w:bidi w:val="0"/>
        <w:ind w:left="0" w:leftChars="0" w:firstLine="0" w:firstLineChars="0"/>
        <w:rPr>
          <w:rFonts w:hint="eastAsia"/>
          <w:lang w:val="en-US" w:eastAsia="zh-CN"/>
        </w:rPr>
      </w:pPr>
      <w:bookmarkStart w:id="27" w:name="_Toc3011"/>
      <w:bookmarkStart w:id="28" w:name="_Toc4138"/>
      <w:bookmarkStart w:id="29" w:name="_Toc29629"/>
      <w:r>
        <w:rPr>
          <w:rFonts w:hint="eastAsia"/>
          <w:lang w:val="en-US" w:eastAsia="zh-CN"/>
        </w:rPr>
        <w:t>成文信息</w:t>
      </w:r>
      <w:bookmarkEnd w:id="27"/>
      <w:bookmarkEnd w:id="28"/>
      <w:r>
        <w:rPr>
          <w:rFonts w:hint="eastAsia"/>
          <w:lang w:val="en-US" w:eastAsia="zh-CN"/>
        </w:rPr>
        <w:t xml:space="preserve"> </w:t>
      </w:r>
      <w:bookmarkEnd w:id="29"/>
    </w:p>
    <w:p>
      <w:pPr>
        <w:pStyle w:val="21"/>
        <w:rPr>
          <w:rFonts w:hint="eastAsia"/>
          <w:lang w:val="en-US" w:eastAsia="zh-CN"/>
        </w:rPr>
      </w:pPr>
      <w:r>
        <w:rPr>
          <w:rFonts w:hint="eastAsia"/>
          <w:lang w:val="en-US" w:eastAsia="zh-CN"/>
        </w:rPr>
        <w:t>企业需要控制并保持的信息，以及承载信息的载体。</w:t>
      </w:r>
    </w:p>
    <w:p>
      <w:pPr>
        <w:pStyle w:val="21"/>
        <w:rPr>
          <w:rFonts w:hint="eastAsia"/>
          <w:lang w:val="en-US" w:eastAsia="zh-CN"/>
        </w:rPr>
      </w:pPr>
      <w:r>
        <w:rPr>
          <w:rFonts w:hint="eastAsia"/>
          <w:lang w:val="en-US" w:eastAsia="zh-CN"/>
        </w:rPr>
        <w:t>注1：成文信息可能以任何形式和承载载体存在，并可能来自任何来源。</w:t>
      </w:r>
    </w:p>
    <w:p>
      <w:pPr>
        <w:pStyle w:val="21"/>
        <w:rPr>
          <w:rFonts w:hint="eastAsia"/>
          <w:lang w:val="en-US" w:eastAsia="zh-CN"/>
        </w:rPr>
      </w:pPr>
      <w:r>
        <w:rPr>
          <w:rFonts w:hint="eastAsia"/>
          <w:lang w:val="en-US" w:eastAsia="zh-CN"/>
        </w:rPr>
        <w:t>注2：成文信息可能涉及：</w:t>
      </w:r>
    </w:p>
    <w:p>
      <w:pPr>
        <w:pStyle w:val="21"/>
        <w:rPr>
          <w:rFonts w:hint="eastAsia"/>
          <w:lang w:val="en-US" w:eastAsia="zh-CN"/>
        </w:rPr>
      </w:pPr>
      <w:r>
        <w:rPr>
          <w:rFonts w:hint="eastAsia"/>
          <w:lang w:val="en-US" w:eastAsia="zh-CN"/>
        </w:rPr>
        <w:t>——安全与风险综合管理体系，包括相关过程；</w:t>
      </w:r>
    </w:p>
    <w:p>
      <w:pPr>
        <w:pStyle w:val="21"/>
        <w:rPr>
          <w:rFonts w:hint="eastAsia"/>
          <w:lang w:val="en-US" w:eastAsia="zh-CN"/>
        </w:rPr>
      </w:pPr>
      <w:r>
        <w:rPr>
          <w:rFonts w:hint="eastAsia"/>
          <w:lang w:val="en-US" w:eastAsia="zh-CN"/>
        </w:rPr>
        <w:t>——为企业运行而创建的信息（可能被称为文件）；</w:t>
      </w:r>
    </w:p>
    <w:p>
      <w:pPr>
        <w:pStyle w:val="21"/>
        <w:rPr>
          <w:rFonts w:hint="eastAsia"/>
          <w:lang w:val="en-US" w:eastAsia="zh-CN"/>
        </w:rPr>
      </w:pPr>
      <w:r>
        <w:rPr>
          <w:rFonts w:hint="eastAsia"/>
          <w:lang w:val="en-US" w:eastAsia="zh-CN"/>
        </w:rPr>
        <w:t>——实现结果的证据（可能被称为记录）。</w:t>
      </w:r>
    </w:p>
    <w:p>
      <w:pPr>
        <w:pStyle w:val="51"/>
        <w:bidi w:val="0"/>
        <w:ind w:left="0" w:leftChars="0" w:firstLine="0" w:firstLineChars="0"/>
        <w:rPr>
          <w:rFonts w:hint="eastAsia"/>
          <w:lang w:val="en-US" w:eastAsia="zh-CN"/>
        </w:rPr>
      </w:pPr>
      <w:bookmarkStart w:id="30" w:name="_Toc30072"/>
      <w:bookmarkStart w:id="31" w:name="_Toc22170"/>
      <w:bookmarkStart w:id="32" w:name="_Toc10903"/>
      <w:r>
        <w:rPr>
          <w:rFonts w:hint="eastAsia"/>
          <w:lang w:val="en-US" w:eastAsia="zh-CN"/>
        </w:rPr>
        <w:t>风险</w:t>
      </w:r>
      <w:bookmarkEnd w:id="30"/>
      <w:bookmarkEnd w:id="31"/>
      <w:r>
        <w:rPr>
          <w:rFonts w:hint="eastAsia"/>
          <w:lang w:val="en-US" w:eastAsia="zh-CN"/>
        </w:rPr>
        <w:t xml:space="preserve"> </w:t>
      </w:r>
      <w:bookmarkEnd w:id="32"/>
    </w:p>
    <w:p>
      <w:pPr>
        <w:pStyle w:val="21"/>
        <w:rPr>
          <w:rFonts w:hint="eastAsia"/>
          <w:lang w:val="en-US" w:eastAsia="zh-CN"/>
        </w:rPr>
      </w:pPr>
      <w:r>
        <w:rPr>
          <w:rFonts w:hint="eastAsia"/>
          <w:lang w:val="en-US" w:eastAsia="zh-CN"/>
        </w:rPr>
        <w:t>不确定性对目标的影响。</w:t>
      </w:r>
    </w:p>
    <w:p>
      <w:pPr>
        <w:pStyle w:val="21"/>
        <w:rPr>
          <w:rFonts w:hint="eastAsia"/>
          <w:lang w:val="en-US" w:eastAsia="zh-CN"/>
        </w:rPr>
      </w:pPr>
      <w:r>
        <w:rPr>
          <w:rFonts w:hint="eastAsia"/>
          <w:lang w:val="en-US" w:eastAsia="zh-CN"/>
        </w:rPr>
        <w:t>注1：影响是指偏离预期，可以是正面的和/或负面的。</w:t>
      </w:r>
    </w:p>
    <w:p>
      <w:pPr>
        <w:pStyle w:val="21"/>
        <w:rPr>
          <w:rFonts w:hint="eastAsia"/>
          <w:lang w:val="en-US" w:eastAsia="zh-CN"/>
        </w:rPr>
      </w:pPr>
      <w:r>
        <w:rPr>
          <w:rFonts w:hint="eastAsia"/>
          <w:lang w:val="en-US" w:eastAsia="zh-CN"/>
        </w:rPr>
        <w:t>注2：目标可以是不同方面（如财务、健康与安全、环境等）和层面（如战略、组织、项目、产品和过程等）的目标。</w:t>
      </w:r>
    </w:p>
    <w:p>
      <w:pPr>
        <w:pStyle w:val="21"/>
        <w:rPr>
          <w:rFonts w:hint="eastAsia"/>
          <w:lang w:val="en-US" w:eastAsia="zh-CN"/>
        </w:rPr>
      </w:pPr>
      <w:r>
        <w:rPr>
          <w:rFonts w:hint="eastAsia"/>
          <w:lang w:val="en-US" w:eastAsia="zh-CN"/>
        </w:rPr>
        <w:t>注3：通常用潜在事件和后果，或两者的组合来描述风险的特性。</w:t>
      </w:r>
    </w:p>
    <w:p>
      <w:pPr>
        <w:pStyle w:val="21"/>
        <w:rPr>
          <w:rFonts w:hint="eastAsia"/>
          <w:lang w:val="en-US" w:eastAsia="zh-CN"/>
        </w:rPr>
      </w:pPr>
      <w:r>
        <w:rPr>
          <w:rFonts w:hint="eastAsia"/>
          <w:lang w:val="en-US" w:eastAsia="zh-CN"/>
        </w:rPr>
        <w:t>注4：通常以事件后果（包括情形的变化）和事件发生可能性的组合来表示风险。</w:t>
      </w:r>
    </w:p>
    <w:p>
      <w:pPr>
        <w:pStyle w:val="21"/>
        <w:rPr>
          <w:rFonts w:hint="default"/>
          <w:lang w:val="en-US" w:eastAsia="zh-CN"/>
        </w:rPr>
      </w:pPr>
      <w:r>
        <w:rPr>
          <w:rFonts w:hint="eastAsia"/>
          <w:lang w:val="en-US" w:eastAsia="zh-CN"/>
        </w:rPr>
        <w:t>注5：不确定性是指对事件及其后果或可能性的信息缺失或了解片面的状态。</w:t>
      </w:r>
    </w:p>
    <w:p>
      <w:pPr>
        <w:pStyle w:val="51"/>
        <w:bidi w:val="0"/>
        <w:ind w:left="0" w:leftChars="0" w:firstLine="0" w:firstLineChars="0"/>
        <w:rPr>
          <w:rFonts w:hint="eastAsia"/>
          <w:lang w:val="en-US" w:eastAsia="zh-CN"/>
        </w:rPr>
      </w:pPr>
      <w:bookmarkStart w:id="33" w:name="_Toc13676"/>
      <w:bookmarkStart w:id="34" w:name="_Toc29990"/>
      <w:bookmarkStart w:id="35" w:name="_Toc16441"/>
      <w:r>
        <w:rPr>
          <w:rFonts w:hint="eastAsia"/>
          <w:lang w:val="en-US" w:eastAsia="zh-CN"/>
        </w:rPr>
        <w:t>风险和机遇</w:t>
      </w:r>
      <w:bookmarkEnd w:id="33"/>
      <w:bookmarkEnd w:id="34"/>
      <w:r>
        <w:rPr>
          <w:rFonts w:hint="eastAsia"/>
          <w:lang w:val="en-US" w:eastAsia="zh-CN"/>
        </w:rPr>
        <w:t xml:space="preserve"> </w:t>
      </w:r>
      <w:bookmarkEnd w:id="35"/>
    </w:p>
    <w:p>
      <w:pPr>
        <w:pStyle w:val="21"/>
        <w:rPr>
          <w:rFonts w:hint="eastAsia"/>
          <w:lang w:val="en-US" w:eastAsia="zh-CN"/>
        </w:rPr>
      </w:pPr>
      <w:r>
        <w:rPr>
          <w:rFonts w:hint="eastAsia"/>
          <w:lang w:val="en-US" w:eastAsia="zh-CN"/>
        </w:rPr>
        <w:t>潜在的不利影响（威胁）和潜在的有益影响（机会）。</w:t>
      </w:r>
    </w:p>
    <w:p>
      <w:pPr>
        <w:pStyle w:val="51"/>
        <w:bidi w:val="0"/>
        <w:ind w:left="0" w:leftChars="0" w:firstLine="0" w:firstLineChars="0"/>
        <w:rPr>
          <w:rFonts w:hint="eastAsia"/>
          <w:lang w:val="en-US" w:eastAsia="zh-CN"/>
        </w:rPr>
      </w:pPr>
      <w:bookmarkStart w:id="36" w:name="_Toc9293"/>
      <w:bookmarkStart w:id="37" w:name="_Toc12636"/>
      <w:r>
        <w:rPr>
          <w:rFonts w:hint="eastAsia"/>
          <w:lang w:val="en-US" w:eastAsia="zh-CN"/>
        </w:rPr>
        <w:t>物项</w:t>
      </w:r>
      <w:bookmarkEnd w:id="36"/>
      <w:bookmarkEnd w:id="37"/>
      <w:r>
        <w:rPr>
          <w:rFonts w:hint="eastAsia"/>
          <w:lang w:val="en-US" w:eastAsia="zh-CN"/>
        </w:rPr>
        <w:t xml:space="preserve"> </w:t>
      </w:r>
    </w:p>
    <w:p>
      <w:pPr>
        <w:pStyle w:val="21"/>
        <w:rPr>
          <w:rFonts w:hint="eastAsia"/>
          <w:szCs w:val="22"/>
          <w:lang w:val="en-US" w:eastAsia="zh-CN"/>
        </w:rPr>
      </w:pPr>
      <w:r>
        <w:rPr>
          <w:rFonts w:hint="eastAsia"/>
          <w:szCs w:val="22"/>
          <w:lang w:val="en-US" w:eastAsia="zh-CN"/>
        </w:rPr>
        <w:t>用于工程施工的材料、构配件的统称。</w:t>
      </w:r>
    </w:p>
    <w:p>
      <w:pPr>
        <w:pStyle w:val="51"/>
        <w:bidi w:val="0"/>
        <w:ind w:left="0" w:leftChars="0" w:firstLine="0" w:firstLineChars="0"/>
        <w:rPr>
          <w:rFonts w:hint="default"/>
          <w:highlight w:val="none"/>
          <w:lang w:val="en-US" w:eastAsia="zh-CN"/>
        </w:rPr>
      </w:pPr>
      <w:bookmarkStart w:id="38" w:name="_Toc11483"/>
      <w:bookmarkStart w:id="39" w:name="_Toc6559"/>
      <w:r>
        <w:rPr>
          <w:rFonts w:hint="eastAsia"/>
          <w:highlight w:val="none"/>
          <w:lang w:val="en-US" w:eastAsia="zh-CN"/>
        </w:rPr>
        <w:t>施工机具</w:t>
      </w:r>
      <w:bookmarkEnd w:id="38"/>
      <w:bookmarkEnd w:id="39"/>
    </w:p>
    <w:p>
      <w:pPr>
        <w:pStyle w:val="21"/>
        <w:rPr>
          <w:rFonts w:hint="default"/>
          <w:lang w:val="en-US" w:eastAsia="zh-CN"/>
        </w:rPr>
      </w:pPr>
      <w:r>
        <w:rPr>
          <w:rFonts w:hint="default"/>
          <w:lang w:val="en-US" w:eastAsia="zh-CN"/>
        </w:rPr>
        <w:t>用于现场施工的用具，包括个人防护用品、工器具、设备设施等</w:t>
      </w:r>
      <w:r>
        <w:rPr>
          <w:rFonts w:hint="eastAsia"/>
          <w:lang w:val="en-US" w:eastAsia="zh-CN"/>
        </w:rPr>
        <w:t>。</w:t>
      </w:r>
    </w:p>
    <w:p>
      <w:pPr>
        <w:pStyle w:val="51"/>
        <w:bidi w:val="0"/>
        <w:ind w:left="0" w:leftChars="0" w:firstLine="0" w:firstLineChars="0"/>
        <w:rPr>
          <w:rFonts w:hint="eastAsia"/>
          <w:lang w:val="en-US" w:eastAsia="zh-CN"/>
        </w:rPr>
      </w:pPr>
      <w:bookmarkStart w:id="40" w:name="_Toc18741"/>
      <w:bookmarkStart w:id="41" w:name="_Toc746"/>
      <w:r>
        <w:rPr>
          <w:rFonts w:hint="eastAsia"/>
          <w:highlight w:val="none"/>
          <w:lang w:val="en-US" w:eastAsia="zh-CN"/>
        </w:rPr>
        <w:t>危害因素</w:t>
      </w:r>
      <w:bookmarkEnd w:id="40"/>
      <w:bookmarkEnd w:id="41"/>
      <w:r>
        <w:rPr>
          <w:rFonts w:hint="eastAsia"/>
          <w:lang w:val="en-US" w:eastAsia="zh-CN"/>
        </w:rPr>
        <w:t xml:space="preserve"> </w:t>
      </w:r>
    </w:p>
    <w:p>
      <w:pPr>
        <w:pStyle w:val="21"/>
        <w:rPr>
          <w:rFonts w:hint="eastAsia"/>
          <w:szCs w:val="22"/>
          <w:lang w:val="en-US" w:eastAsia="zh-CN"/>
        </w:rPr>
      </w:pPr>
      <w:r>
        <w:rPr>
          <w:rFonts w:hint="eastAsia"/>
          <w:lang w:val="en-US" w:eastAsia="zh-CN"/>
        </w:rPr>
        <w:t>可能导致伤害、健康损害或环境影响的因素与来源</w:t>
      </w:r>
      <w:r>
        <w:rPr>
          <w:rFonts w:hint="eastAsia"/>
          <w:szCs w:val="22"/>
          <w:lang w:val="en-US" w:eastAsia="zh-CN"/>
        </w:rPr>
        <w:t>。</w:t>
      </w:r>
    </w:p>
    <w:p>
      <w:pPr>
        <w:pStyle w:val="51"/>
        <w:bidi w:val="0"/>
        <w:ind w:left="0" w:leftChars="0" w:firstLine="0" w:firstLineChars="0"/>
        <w:rPr>
          <w:rFonts w:hint="eastAsia"/>
          <w:highlight w:val="none"/>
          <w:lang w:val="en-US" w:eastAsia="zh-CN"/>
        </w:rPr>
      </w:pPr>
      <w:bookmarkStart w:id="42" w:name="_Toc23625"/>
      <w:bookmarkStart w:id="43" w:name="_Toc19328"/>
      <w:r>
        <w:rPr>
          <w:rFonts w:hint="eastAsia"/>
          <w:highlight w:val="none"/>
          <w:lang w:val="en-US" w:eastAsia="zh-CN"/>
        </w:rPr>
        <w:t>风险分级管控</w:t>
      </w:r>
      <w:bookmarkEnd w:id="42"/>
      <w:bookmarkEnd w:id="43"/>
      <w:r>
        <w:rPr>
          <w:rFonts w:hint="eastAsia"/>
          <w:highlight w:val="none"/>
          <w:lang w:val="en-US" w:eastAsia="zh-CN"/>
        </w:rPr>
        <w:t xml:space="preserve"> </w:t>
      </w:r>
    </w:p>
    <w:p>
      <w:pPr>
        <w:pStyle w:val="21"/>
        <w:rPr>
          <w:rFonts w:hint="eastAsia"/>
          <w:szCs w:val="22"/>
          <w:lang w:val="en-US" w:eastAsia="zh-CN"/>
        </w:rPr>
      </w:pPr>
      <w:r>
        <w:rPr>
          <w:rFonts w:hint="eastAsia"/>
          <w:szCs w:val="22"/>
          <w:lang w:val="en-US" w:eastAsia="zh-CN"/>
        </w:rPr>
        <w:t xml:space="preserve">指按照风险不同级别、所需管控资源、管控能力、管控措施复杂及难易程度等因素而确定不同管控层级的风险管控方式。 </w:t>
      </w:r>
    </w:p>
    <w:p>
      <w:pPr>
        <w:pStyle w:val="21"/>
        <w:rPr>
          <w:rFonts w:hint="eastAsia"/>
          <w:szCs w:val="22"/>
          <w:lang w:val="en-US" w:eastAsia="zh-CN"/>
        </w:rPr>
      </w:pPr>
      <w:r>
        <w:rPr>
          <w:rFonts w:hint="eastAsia"/>
          <w:szCs w:val="22"/>
          <w:lang w:val="en-US" w:eastAsia="zh-CN"/>
        </w:rPr>
        <w:t>遵循风险越高管控层级越高的原则，对于操作难度大、技术含量高、风险等级高、可能导致严重后果的作业活动应重点进行管控。上一级负责管控的风险，下一级必须同时负责管控，并逐级落实具体措施。风险管控层级可进行增加或合并，需结合实际情况，合理确定各级风险的管控层级。</w:t>
      </w:r>
    </w:p>
    <w:p>
      <w:pPr>
        <w:pStyle w:val="51"/>
        <w:bidi w:val="0"/>
        <w:ind w:left="0" w:leftChars="0" w:firstLine="0" w:firstLineChars="0"/>
        <w:rPr>
          <w:rFonts w:hint="eastAsia"/>
          <w:lang w:val="en-US" w:eastAsia="zh-CN"/>
        </w:rPr>
      </w:pPr>
      <w:bookmarkStart w:id="44" w:name="_Toc24052"/>
      <w:bookmarkStart w:id="45" w:name="_Toc4716"/>
      <w:r>
        <w:rPr>
          <w:rFonts w:hint="eastAsia"/>
          <w:lang w:val="en-US" w:eastAsia="zh-CN"/>
        </w:rPr>
        <w:t>安全生产事故隐患</w:t>
      </w:r>
      <w:bookmarkEnd w:id="44"/>
      <w:bookmarkEnd w:id="45"/>
    </w:p>
    <w:p>
      <w:pPr>
        <w:pStyle w:val="21"/>
        <w:rPr>
          <w:rFonts w:hint="default"/>
          <w:lang w:val="en-US" w:eastAsia="zh-CN"/>
        </w:rPr>
      </w:pPr>
      <w:r>
        <w:t>违反安全生产法律、法规、规章、标准、规程和安全生产管理制度的规定，或者因其他因素在生产经营活动中存在可能导致事故发生的物的危险状态、人的不安全行为和管理上的缺陷</w:t>
      </w:r>
      <w:r>
        <w:rPr>
          <w:rFonts w:hint="eastAsia"/>
          <w:szCs w:val="22"/>
          <w:lang w:val="en-US" w:eastAsia="zh-CN"/>
        </w:rPr>
        <w:t>。</w:t>
      </w:r>
    </w:p>
    <w:p>
      <w:pPr>
        <w:pStyle w:val="21"/>
        <w:rPr>
          <w:rFonts w:hint="eastAsia" w:eastAsia="宋体"/>
          <w:szCs w:val="22"/>
          <w:lang w:val="en-US" w:eastAsia="zh-CN"/>
        </w:rPr>
      </w:pPr>
      <w:r>
        <w:rPr>
          <w:rFonts w:hint="eastAsia"/>
          <w:lang w:val="en-US" w:eastAsia="zh-CN"/>
        </w:rPr>
        <w:t>注：本标准的</w:t>
      </w:r>
      <w:r>
        <w:t>安全生产事故隐患简称</w:t>
      </w:r>
      <w:r>
        <w:rPr>
          <w:rFonts w:hint="eastAsia"/>
          <w:lang w:eastAsia="zh-CN"/>
        </w:rPr>
        <w:t>“</w:t>
      </w:r>
      <w:r>
        <w:rPr>
          <w:rFonts w:hint="eastAsia"/>
          <w:lang w:val="en-US" w:eastAsia="zh-CN"/>
        </w:rPr>
        <w:t>隐患”或“</w:t>
      </w:r>
      <w:r>
        <w:t>事故隐患</w:t>
      </w:r>
      <w:r>
        <w:rPr>
          <w:rFonts w:hint="eastAsia"/>
          <w:lang w:eastAsia="zh-CN"/>
        </w:rPr>
        <w:t>”。</w:t>
      </w:r>
    </w:p>
    <w:p>
      <w:pPr>
        <w:pStyle w:val="94"/>
        <w:rPr>
          <w:rFonts w:hint="eastAsia"/>
          <w:szCs w:val="22"/>
          <w:lang w:val="en-US" w:eastAsia="zh-CN"/>
        </w:rPr>
      </w:pPr>
      <w:bookmarkStart w:id="46" w:name="_Toc29041"/>
      <w:bookmarkStart w:id="47" w:name="_Toc3660"/>
      <w:bookmarkStart w:id="48" w:name="_Toc4463"/>
      <w:r>
        <w:rPr>
          <w:rFonts w:hint="eastAsia"/>
          <w:szCs w:val="22"/>
          <w:lang w:val="en-US" w:eastAsia="zh-CN"/>
        </w:rPr>
        <w:t>基本规定</w:t>
      </w:r>
      <w:bookmarkEnd w:id="46"/>
      <w:bookmarkEnd w:id="47"/>
      <w:bookmarkEnd w:id="48"/>
    </w:p>
    <w:p>
      <w:pPr>
        <w:pStyle w:val="51"/>
        <w:bidi w:val="0"/>
        <w:ind w:left="0" w:leftChars="0" w:firstLine="0" w:firstLineChars="0"/>
        <w:rPr>
          <w:rFonts w:hint="eastAsia"/>
          <w:lang w:val="en-US" w:eastAsia="zh-CN"/>
        </w:rPr>
      </w:pPr>
      <w:bookmarkStart w:id="49" w:name="_Toc8577"/>
      <w:bookmarkStart w:id="50" w:name="_Toc299"/>
      <w:bookmarkStart w:id="51" w:name="_Toc25948"/>
      <w:r>
        <w:rPr>
          <w:rFonts w:hint="eastAsia"/>
        </w:rPr>
        <w:t>安全与风险</w:t>
      </w:r>
      <w:r>
        <w:rPr>
          <w:rFonts w:hint="eastAsia"/>
          <w:lang w:val="en-US" w:eastAsia="zh-CN"/>
        </w:rPr>
        <w:t>方针</w:t>
      </w:r>
      <w:bookmarkEnd w:id="49"/>
      <w:bookmarkEnd w:id="50"/>
      <w:bookmarkEnd w:id="51"/>
    </w:p>
    <w:p>
      <w:pPr>
        <w:pStyle w:val="21"/>
        <w:rPr>
          <w:rFonts w:hint="eastAsia"/>
        </w:rPr>
      </w:pPr>
      <w:r>
        <w:rPr>
          <w:rFonts w:hint="eastAsia"/>
        </w:rPr>
        <w:t>最高管理者应建立、实施并保持安全与风险方针，体现企业安全生产、职业健康、环境保护等的宗旨和方向，以及持续降低与安全有关的风险的承诺，为企业的安全生产管理提供方向。</w:t>
      </w:r>
    </w:p>
    <w:p>
      <w:pPr>
        <w:pStyle w:val="21"/>
      </w:pPr>
      <w:r>
        <w:rPr>
          <w:rFonts w:hint="eastAsia"/>
        </w:rPr>
        <w:t>安全与风险方针应体现：</w:t>
      </w:r>
    </w:p>
    <w:p>
      <w:pPr>
        <w:pStyle w:val="21"/>
        <w:numPr>
          <w:ilvl w:val="0"/>
          <w:numId w:val="19"/>
        </w:numPr>
      </w:pPr>
      <w:r>
        <w:rPr>
          <w:rFonts w:hint="eastAsia"/>
        </w:rPr>
        <w:t>企业安全发展战略的目标与方向。</w:t>
      </w:r>
    </w:p>
    <w:p>
      <w:pPr>
        <w:pStyle w:val="21"/>
        <w:numPr>
          <w:ilvl w:val="0"/>
          <w:numId w:val="19"/>
        </w:numPr>
      </w:pPr>
      <w:r>
        <w:rPr>
          <w:rFonts w:hint="eastAsia"/>
        </w:rPr>
        <w:t>满足合规义务的承诺。</w:t>
      </w:r>
    </w:p>
    <w:p>
      <w:pPr>
        <w:pStyle w:val="21"/>
        <w:numPr>
          <w:ilvl w:val="0"/>
          <w:numId w:val="19"/>
        </w:numPr>
      </w:pPr>
      <w:r>
        <w:rPr>
          <w:rFonts w:hint="eastAsia"/>
        </w:rPr>
        <w:t>为防止与工作相关的伤害和健康损害而提供安全和健康的工作条件的承诺，并适合于企业的宗旨和规模、企业所处的环境，以及与安全有关的风险特性。</w:t>
      </w:r>
    </w:p>
    <w:p>
      <w:pPr>
        <w:pStyle w:val="21"/>
        <w:numPr>
          <w:ilvl w:val="0"/>
          <w:numId w:val="19"/>
        </w:numPr>
      </w:pPr>
      <w:r>
        <w:rPr>
          <w:rFonts w:hint="eastAsia"/>
        </w:rPr>
        <w:t>企业对安全、健康、环境及持续改进的承诺。</w:t>
      </w:r>
    </w:p>
    <w:p>
      <w:pPr>
        <w:pStyle w:val="21"/>
        <w:numPr>
          <w:ilvl w:val="0"/>
          <w:numId w:val="19"/>
        </w:numPr>
      </w:pPr>
      <w:r>
        <w:rPr>
          <w:rFonts w:hint="eastAsia"/>
        </w:rPr>
        <w:t>社会、客户、员工和其他相关方的需求。</w:t>
      </w:r>
    </w:p>
    <w:p>
      <w:pPr>
        <w:pStyle w:val="21"/>
        <w:ind w:firstLineChars="0"/>
      </w:pPr>
      <w:r>
        <w:rPr>
          <w:rFonts w:hint="eastAsia"/>
        </w:rPr>
        <w:t>安全与风险方针应：</w:t>
      </w:r>
    </w:p>
    <w:p>
      <w:pPr>
        <w:pStyle w:val="21"/>
        <w:ind w:left="420" w:firstLine="0" w:firstLineChars="0"/>
        <w:rPr>
          <w:szCs w:val="22"/>
        </w:rPr>
      </w:pPr>
      <w:r>
        <w:rPr>
          <w:rFonts w:hint="eastAsia"/>
          <w:szCs w:val="22"/>
        </w:rPr>
        <w:t>——作为成文信息而可被获取；</w:t>
      </w:r>
    </w:p>
    <w:p>
      <w:pPr>
        <w:pStyle w:val="21"/>
        <w:ind w:left="420" w:firstLine="0" w:firstLineChars="0"/>
        <w:rPr>
          <w:szCs w:val="22"/>
        </w:rPr>
      </w:pPr>
      <w:r>
        <w:rPr>
          <w:rFonts w:hint="eastAsia"/>
          <w:szCs w:val="22"/>
        </w:rPr>
        <w:t>——在企业内予以传达、沟通与</w:t>
      </w:r>
      <w:r>
        <w:rPr>
          <w:rFonts w:hint="eastAsia"/>
          <w:szCs w:val="22"/>
          <w:lang w:val="en-US" w:eastAsia="zh-CN"/>
        </w:rPr>
        <w:t>实施</w:t>
      </w:r>
      <w:r>
        <w:rPr>
          <w:rFonts w:hint="eastAsia"/>
          <w:szCs w:val="22"/>
        </w:rPr>
        <w:t>；</w:t>
      </w:r>
    </w:p>
    <w:p>
      <w:pPr>
        <w:pStyle w:val="21"/>
        <w:ind w:left="420" w:firstLine="0" w:firstLineChars="0"/>
        <w:rPr>
          <w:szCs w:val="22"/>
        </w:rPr>
      </w:pPr>
      <w:r>
        <w:rPr>
          <w:rFonts w:hint="eastAsia"/>
          <w:szCs w:val="22"/>
        </w:rPr>
        <w:t>——在适当时可为相关方所获取；</w:t>
      </w:r>
    </w:p>
    <w:p>
      <w:pPr>
        <w:pStyle w:val="21"/>
        <w:numPr>
          <w:ilvl w:val="0"/>
          <w:numId w:val="0"/>
        </w:numPr>
        <w:ind w:left="420" w:leftChars="0"/>
        <w:rPr>
          <w:rFonts w:hint="default"/>
          <w:szCs w:val="22"/>
          <w:lang w:val="en-US" w:eastAsia="zh-CN"/>
        </w:rPr>
      </w:pPr>
      <w:r>
        <w:rPr>
          <w:rFonts w:hint="eastAsia"/>
          <w:szCs w:val="22"/>
        </w:rPr>
        <w:t>——保持相关和适宜。</w:t>
      </w:r>
    </w:p>
    <w:p>
      <w:pPr>
        <w:pStyle w:val="51"/>
        <w:bidi w:val="0"/>
        <w:ind w:left="0" w:leftChars="0" w:firstLine="0" w:firstLineChars="0"/>
        <w:rPr>
          <w:rFonts w:hint="eastAsia"/>
          <w:lang w:val="en-US" w:eastAsia="zh-CN"/>
        </w:rPr>
      </w:pPr>
      <w:bookmarkStart w:id="52" w:name="_Toc28846"/>
      <w:bookmarkStart w:id="53" w:name="_Toc28938"/>
      <w:bookmarkStart w:id="54" w:name="_Toc6417"/>
      <w:r>
        <w:rPr>
          <w:rFonts w:hint="eastAsia"/>
        </w:rPr>
        <w:t>安全与风险</w:t>
      </w:r>
      <w:r>
        <w:rPr>
          <w:rFonts w:hint="eastAsia"/>
          <w:lang w:val="en-US" w:eastAsia="zh-CN"/>
        </w:rPr>
        <w:t>目标指标</w:t>
      </w:r>
      <w:bookmarkEnd w:id="52"/>
      <w:bookmarkEnd w:id="53"/>
      <w:bookmarkEnd w:id="54"/>
    </w:p>
    <w:p>
      <w:pPr>
        <w:pStyle w:val="51"/>
        <w:numPr>
          <w:ilvl w:val="1"/>
          <w:numId w:val="0"/>
        </w:numPr>
        <w:bidi w:val="0"/>
        <w:ind w:leftChars="0"/>
        <w:rPr>
          <w:rFonts w:hint="default"/>
          <w:lang w:val="en-US" w:eastAsia="zh-CN"/>
        </w:rPr>
      </w:pPr>
      <w:bookmarkStart w:id="55" w:name="_Toc20719"/>
      <w:bookmarkStart w:id="56" w:name="_Toc7430"/>
      <w:bookmarkStart w:id="57" w:name="_Toc2925"/>
      <w:r>
        <w:rPr>
          <w:rFonts w:hint="eastAsia"/>
          <w:lang w:val="en-US" w:eastAsia="zh-CN"/>
        </w:rPr>
        <w:t>4.2.1设立</w:t>
      </w:r>
      <w:bookmarkEnd w:id="55"/>
      <w:bookmarkEnd w:id="56"/>
      <w:bookmarkEnd w:id="57"/>
    </w:p>
    <w:p>
      <w:pPr>
        <w:pStyle w:val="21"/>
        <w:rPr>
          <w:rFonts w:hint="eastAsia"/>
          <w:lang w:val="en-US" w:eastAsia="zh-CN"/>
        </w:rPr>
      </w:pPr>
      <w:r>
        <w:rPr>
          <w:rFonts w:hint="eastAsia"/>
        </w:rPr>
        <w:t>企业应基于安全发展战略及</w:t>
      </w:r>
      <w:r>
        <w:rPr>
          <w:rFonts w:hint="eastAsia"/>
          <w:lang w:val="en-US" w:eastAsia="zh-CN"/>
        </w:rPr>
        <w:t>安全与风险</w:t>
      </w:r>
      <w:r>
        <w:rPr>
          <w:rFonts w:hint="eastAsia"/>
        </w:rPr>
        <w:t>方针，针对本企业与安全有关的风险</w:t>
      </w:r>
      <w:r>
        <w:rPr>
          <w:rFonts w:hint="eastAsia"/>
          <w:lang w:val="en-US" w:eastAsia="zh-CN"/>
        </w:rPr>
        <w:t>，在相关职能和层次上制定安全与风险目标指标，以保持安全与风险综合管理体系，持续改进安全绩效，并为企业的安全生产管理提供焦点与方向。</w:t>
      </w:r>
    </w:p>
    <w:p>
      <w:pPr>
        <w:pStyle w:val="21"/>
        <w:rPr>
          <w:rFonts w:hint="eastAsia"/>
          <w:lang w:val="en-US" w:eastAsia="zh-CN"/>
        </w:rPr>
      </w:pPr>
      <w:r>
        <w:rPr>
          <w:rFonts w:hint="eastAsia"/>
          <w:lang w:val="en-US" w:eastAsia="zh-CN"/>
        </w:rPr>
        <w:t>安全与风险目标指标应：</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与方针一致；</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可测量；</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得到监视；</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予以沟通；</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可用于绩效评价；</w:t>
      </w:r>
    </w:p>
    <w:p>
      <w:pPr>
        <w:pStyle w:val="21"/>
        <w:numPr>
          <w:ilvl w:val="0"/>
          <w:numId w:val="20"/>
        </w:numPr>
        <w:ind w:left="420" w:leftChars="0" w:firstLine="0" w:firstLineChars="0"/>
        <w:rPr>
          <w:rFonts w:hint="default"/>
          <w:szCs w:val="22"/>
          <w:lang w:val="en-US" w:eastAsia="zh-CN"/>
        </w:rPr>
      </w:pPr>
      <w:r>
        <w:rPr>
          <w:rFonts w:hint="eastAsia"/>
          <w:szCs w:val="22"/>
          <w:lang w:val="en-US" w:eastAsia="zh-CN"/>
        </w:rPr>
        <w:t>在适当时予以更新。</w:t>
      </w:r>
    </w:p>
    <w:p>
      <w:pPr>
        <w:pStyle w:val="21"/>
        <w:rPr>
          <w:rFonts w:hint="eastAsia"/>
          <w:lang w:val="en-US" w:eastAsia="zh-CN"/>
        </w:rPr>
      </w:pPr>
      <w:r>
        <w:rPr>
          <w:rFonts w:hint="eastAsia"/>
          <w:lang w:val="en-US" w:eastAsia="zh-CN"/>
        </w:rPr>
        <w:t>企业在策划如何设立安全与风险目标指标时，应关注：</w:t>
      </w:r>
    </w:p>
    <w:p>
      <w:pPr>
        <w:pStyle w:val="21"/>
        <w:numPr>
          <w:ilvl w:val="0"/>
          <w:numId w:val="0"/>
        </w:numPr>
        <w:ind w:left="420" w:leftChars="0"/>
        <w:rPr>
          <w:rFonts w:hint="eastAsia"/>
          <w:szCs w:val="22"/>
          <w:lang w:val="en-US" w:eastAsia="zh-CN"/>
        </w:rPr>
      </w:pPr>
      <w:r>
        <w:rPr>
          <w:rFonts w:hint="eastAsia"/>
          <w:szCs w:val="22"/>
          <w:lang w:val="en-US" w:eastAsia="zh-CN"/>
        </w:rPr>
        <w:t>——层次结构；</w:t>
      </w:r>
    </w:p>
    <w:p>
      <w:pPr>
        <w:pStyle w:val="21"/>
        <w:numPr>
          <w:ilvl w:val="0"/>
          <w:numId w:val="0"/>
        </w:numPr>
        <w:ind w:left="420" w:leftChars="0"/>
        <w:rPr>
          <w:rFonts w:hint="eastAsia"/>
          <w:szCs w:val="22"/>
          <w:lang w:val="en-US" w:eastAsia="zh-CN"/>
        </w:rPr>
      </w:pPr>
      <w:r>
        <w:rPr>
          <w:rFonts w:hint="eastAsia"/>
          <w:szCs w:val="22"/>
          <w:lang w:val="en-US" w:eastAsia="zh-CN"/>
        </w:rPr>
        <w:t>——逻辑关系的系统性；</w:t>
      </w:r>
    </w:p>
    <w:p>
      <w:pPr>
        <w:pStyle w:val="21"/>
        <w:numPr>
          <w:ilvl w:val="0"/>
          <w:numId w:val="0"/>
        </w:numPr>
        <w:ind w:left="420" w:leftChars="0"/>
        <w:rPr>
          <w:rFonts w:hint="eastAsia"/>
          <w:szCs w:val="22"/>
          <w:lang w:val="en-US" w:eastAsia="zh-CN"/>
        </w:rPr>
      </w:pPr>
      <w:r>
        <w:rPr>
          <w:rFonts w:hint="eastAsia"/>
          <w:szCs w:val="22"/>
          <w:lang w:val="en-US" w:eastAsia="zh-CN"/>
        </w:rPr>
        <w:t>——内容的充分性；</w:t>
      </w:r>
    </w:p>
    <w:p>
      <w:pPr>
        <w:pStyle w:val="21"/>
        <w:numPr>
          <w:ilvl w:val="0"/>
          <w:numId w:val="0"/>
        </w:numPr>
        <w:ind w:left="420" w:leftChars="0"/>
        <w:rPr>
          <w:rFonts w:hint="eastAsia"/>
          <w:szCs w:val="22"/>
          <w:lang w:val="en-US" w:eastAsia="zh-CN"/>
        </w:rPr>
      </w:pPr>
      <w:r>
        <w:rPr>
          <w:rFonts w:hint="eastAsia"/>
          <w:szCs w:val="22"/>
          <w:lang w:val="en-US" w:eastAsia="zh-CN"/>
        </w:rPr>
        <w:t>——权重的适宜性；</w:t>
      </w:r>
    </w:p>
    <w:p>
      <w:pPr>
        <w:pStyle w:val="21"/>
        <w:numPr>
          <w:ilvl w:val="0"/>
          <w:numId w:val="0"/>
        </w:numPr>
        <w:ind w:left="420" w:leftChars="0"/>
        <w:rPr>
          <w:rFonts w:hint="eastAsia"/>
          <w:szCs w:val="22"/>
          <w:lang w:val="en-US" w:eastAsia="zh-CN"/>
        </w:rPr>
      </w:pPr>
      <w:r>
        <w:rPr>
          <w:rFonts w:hint="eastAsia"/>
          <w:szCs w:val="22"/>
          <w:lang w:val="en-US" w:eastAsia="zh-CN"/>
        </w:rPr>
        <w:t>——定量或定性测量；</w:t>
      </w:r>
    </w:p>
    <w:p>
      <w:pPr>
        <w:pStyle w:val="21"/>
        <w:numPr>
          <w:ilvl w:val="0"/>
          <w:numId w:val="0"/>
        </w:numPr>
        <w:ind w:left="420" w:leftChars="0"/>
        <w:rPr>
          <w:rFonts w:hint="eastAsia"/>
          <w:szCs w:val="22"/>
          <w:lang w:val="en-US" w:eastAsia="zh-CN"/>
        </w:rPr>
      </w:pPr>
      <w:r>
        <w:rPr>
          <w:rFonts w:hint="eastAsia"/>
          <w:szCs w:val="22"/>
          <w:lang w:val="en-US" w:eastAsia="zh-CN"/>
        </w:rPr>
        <w:t>——过程指标的设立。</w:t>
      </w:r>
    </w:p>
    <w:p>
      <w:pPr>
        <w:pStyle w:val="21"/>
        <w:rPr>
          <w:rFonts w:hint="eastAsia"/>
          <w:szCs w:val="22"/>
          <w:lang w:val="en-US" w:eastAsia="zh-CN"/>
        </w:rPr>
      </w:pPr>
      <w:r>
        <w:rPr>
          <w:rFonts w:hint="eastAsia"/>
          <w:szCs w:val="22"/>
          <w:lang w:val="en-US" w:eastAsia="zh-CN"/>
        </w:rPr>
        <w:t>企业应保持安全与风险目标指标设立的成文信息。</w:t>
      </w:r>
    </w:p>
    <w:p>
      <w:pPr>
        <w:pStyle w:val="51"/>
        <w:numPr>
          <w:ilvl w:val="1"/>
          <w:numId w:val="0"/>
        </w:numPr>
        <w:bidi w:val="0"/>
        <w:ind w:leftChars="0"/>
        <w:rPr>
          <w:rFonts w:hint="eastAsia"/>
          <w:lang w:val="en-US" w:eastAsia="zh-CN"/>
        </w:rPr>
      </w:pPr>
      <w:bookmarkStart w:id="58" w:name="_Toc2976"/>
      <w:bookmarkStart w:id="59" w:name="_Toc29678"/>
      <w:bookmarkStart w:id="60" w:name="_Toc8960"/>
      <w:r>
        <w:rPr>
          <w:rFonts w:hint="eastAsia"/>
          <w:lang w:val="en-US" w:eastAsia="zh-CN"/>
        </w:rPr>
        <w:t>4.2.2实现</w:t>
      </w:r>
      <w:bookmarkEnd w:id="58"/>
      <w:bookmarkEnd w:id="59"/>
      <w:bookmarkEnd w:id="60"/>
    </w:p>
    <w:p>
      <w:pPr>
        <w:pStyle w:val="21"/>
        <w:rPr>
          <w:rFonts w:hint="eastAsia"/>
          <w:lang w:val="en-US" w:eastAsia="zh-CN"/>
        </w:rPr>
      </w:pPr>
      <w:r>
        <w:rPr>
          <w:rFonts w:hint="eastAsia"/>
          <w:lang w:val="en-US" w:eastAsia="zh-CN"/>
        </w:rPr>
        <w:t>企业在策划如何实现安全与风险目标指标时，应确定：</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要做什么；</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怎么做；</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由谁做；</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有哪些资源，需要什么资源；</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何时完成；</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如何检查；</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如何评价。</w:t>
      </w:r>
    </w:p>
    <w:p>
      <w:pPr>
        <w:pStyle w:val="21"/>
        <w:numPr>
          <w:ilvl w:val="0"/>
          <w:numId w:val="0"/>
        </w:numPr>
        <w:ind w:left="420" w:leftChars="0"/>
        <w:rPr>
          <w:rFonts w:hint="eastAsia"/>
          <w:szCs w:val="22"/>
          <w:lang w:val="en-US" w:eastAsia="zh-CN"/>
        </w:rPr>
      </w:pPr>
      <w:r>
        <w:rPr>
          <w:rFonts w:hint="eastAsia"/>
          <w:szCs w:val="22"/>
          <w:lang w:val="en-US" w:eastAsia="zh-CN"/>
        </w:rPr>
        <w:t>企业应保持安全与风险目标指标实现的成文信息。</w:t>
      </w:r>
    </w:p>
    <w:p>
      <w:pPr>
        <w:pStyle w:val="51"/>
        <w:bidi w:val="0"/>
        <w:ind w:left="0" w:leftChars="0" w:firstLine="0" w:firstLineChars="0"/>
        <w:rPr>
          <w:rFonts w:hint="eastAsia"/>
          <w:lang w:val="en-US" w:eastAsia="zh-CN"/>
        </w:rPr>
      </w:pPr>
      <w:bookmarkStart w:id="61" w:name="_Toc32705"/>
      <w:bookmarkStart w:id="62" w:name="_Toc2388"/>
      <w:bookmarkStart w:id="63" w:name="_Toc29276"/>
      <w:r>
        <w:rPr>
          <w:rFonts w:hint="eastAsia"/>
          <w:lang w:val="en-US" w:eastAsia="zh-CN"/>
        </w:rPr>
        <w:t>合规申明</w:t>
      </w:r>
      <w:bookmarkEnd w:id="61"/>
      <w:bookmarkEnd w:id="62"/>
      <w:bookmarkEnd w:id="63"/>
    </w:p>
    <w:p>
      <w:pPr>
        <w:pStyle w:val="51"/>
        <w:numPr>
          <w:ilvl w:val="1"/>
          <w:numId w:val="0"/>
        </w:numPr>
        <w:bidi w:val="0"/>
        <w:ind w:leftChars="0"/>
        <w:rPr>
          <w:rFonts w:hint="eastAsia"/>
          <w:lang w:val="en-US" w:eastAsia="zh-CN"/>
        </w:rPr>
      </w:pPr>
      <w:bookmarkStart w:id="64" w:name="_Toc11859"/>
      <w:bookmarkStart w:id="65" w:name="_Toc29300"/>
      <w:bookmarkStart w:id="66" w:name="_Toc18654"/>
      <w:r>
        <w:rPr>
          <w:rFonts w:hint="eastAsia"/>
          <w:lang w:val="en-US" w:eastAsia="zh-CN"/>
        </w:rPr>
        <w:t>4.3.1合规义务</w:t>
      </w:r>
      <w:bookmarkEnd w:id="64"/>
      <w:bookmarkEnd w:id="65"/>
      <w:bookmarkEnd w:id="66"/>
    </w:p>
    <w:p>
      <w:pPr>
        <w:pStyle w:val="21"/>
        <w:rPr>
          <w:szCs w:val="22"/>
        </w:rPr>
      </w:pPr>
      <w:bookmarkStart w:id="67" w:name="_Toc24768"/>
      <w:r>
        <w:rPr>
          <w:rFonts w:hint="eastAsia"/>
          <w:szCs w:val="22"/>
        </w:rPr>
        <w:t>企业应建立、实施和保持安全与风险综合管理体系过程合规，确保对所有相关的合规义务的依从，应确定：</w:t>
      </w:r>
    </w:p>
    <w:p>
      <w:pPr>
        <w:pStyle w:val="21"/>
        <w:numPr>
          <w:ilvl w:val="0"/>
          <w:numId w:val="22"/>
        </w:numPr>
        <w:ind w:left="420" w:firstLine="0" w:firstLineChars="0"/>
        <w:rPr>
          <w:szCs w:val="22"/>
        </w:rPr>
      </w:pPr>
      <w:r>
        <w:rPr>
          <w:rFonts w:hint="eastAsia"/>
          <w:szCs w:val="22"/>
        </w:rPr>
        <w:t>获取最新的适用于企业的安全、与安全有关的风险、隐患等有关的合规义务；</w:t>
      </w:r>
    </w:p>
    <w:p>
      <w:pPr>
        <w:pStyle w:val="21"/>
        <w:numPr>
          <w:ilvl w:val="0"/>
          <w:numId w:val="22"/>
        </w:numPr>
        <w:ind w:left="420" w:firstLine="0" w:firstLineChars="0"/>
        <w:rPr>
          <w:szCs w:val="22"/>
        </w:rPr>
      </w:pPr>
      <w:r>
        <w:rPr>
          <w:rFonts w:hint="eastAsia"/>
          <w:szCs w:val="22"/>
        </w:rPr>
        <w:t>如何将这些合规义务应用于</w:t>
      </w:r>
      <w:r>
        <w:rPr>
          <w:rFonts w:hint="eastAsia"/>
          <w:szCs w:val="22"/>
          <w:lang w:val="en-US" w:eastAsia="zh-CN"/>
        </w:rPr>
        <w:t>企业</w:t>
      </w:r>
      <w:r>
        <w:rPr>
          <w:rFonts w:hint="eastAsia"/>
          <w:szCs w:val="22"/>
        </w:rPr>
        <w:t>的生产经营活动；</w:t>
      </w:r>
    </w:p>
    <w:p>
      <w:pPr>
        <w:pStyle w:val="21"/>
        <w:numPr>
          <w:ilvl w:val="0"/>
          <w:numId w:val="22"/>
        </w:numPr>
        <w:ind w:left="420" w:firstLine="0" w:firstLineChars="0"/>
        <w:rPr>
          <w:rFonts w:hint="eastAsia"/>
          <w:szCs w:val="22"/>
        </w:rPr>
      </w:pPr>
      <w:r>
        <w:rPr>
          <w:rFonts w:hint="eastAsia"/>
          <w:szCs w:val="22"/>
        </w:rPr>
        <w:t>在建立、实施、保持和持续改进安全生产管理时必须考虑这些合规义务。</w:t>
      </w:r>
    </w:p>
    <w:p>
      <w:pPr>
        <w:pStyle w:val="21"/>
        <w:rPr>
          <w:rFonts w:hint="eastAsia"/>
          <w:szCs w:val="22"/>
          <w:lang w:val="en-US" w:eastAsia="zh-CN"/>
        </w:rPr>
      </w:pPr>
      <w:r>
        <w:rPr>
          <w:rFonts w:hint="eastAsia"/>
          <w:szCs w:val="22"/>
          <w:lang w:val="en-US" w:eastAsia="zh-CN"/>
        </w:rPr>
        <w:t>企业应保持合规义务的成文信息。</w:t>
      </w:r>
    </w:p>
    <w:p>
      <w:pPr>
        <w:pStyle w:val="51"/>
        <w:numPr>
          <w:ilvl w:val="1"/>
          <w:numId w:val="0"/>
        </w:numPr>
        <w:bidi w:val="0"/>
        <w:ind w:leftChars="0"/>
        <w:rPr>
          <w:rFonts w:hint="default"/>
          <w:lang w:val="en-US" w:eastAsia="zh-CN"/>
        </w:rPr>
      </w:pPr>
      <w:bookmarkStart w:id="68" w:name="_Toc22132"/>
      <w:bookmarkStart w:id="69" w:name="_Toc23309"/>
      <w:r>
        <w:rPr>
          <w:rFonts w:hint="eastAsia"/>
          <w:lang w:val="en-US" w:eastAsia="zh-CN"/>
        </w:rPr>
        <w:t>4.3.2合规性评价</w:t>
      </w:r>
      <w:bookmarkEnd w:id="67"/>
      <w:bookmarkEnd w:id="68"/>
      <w:bookmarkEnd w:id="69"/>
    </w:p>
    <w:p>
      <w:pPr>
        <w:pStyle w:val="21"/>
        <w:rPr>
          <w:szCs w:val="22"/>
        </w:rPr>
      </w:pPr>
      <w:bookmarkStart w:id="70" w:name="_Toc21578"/>
      <w:r>
        <w:rPr>
          <w:rFonts w:hint="eastAsia"/>
          <w:szCs w:val="22"/>
        </w:rPr>
        <w:t>企业应建立、实施和保持评价其合规义务履行状况所需的过程，应：</w:t>
      </w:r>
    </w:p>
    <w:p>
      <w:pPr>
        <w:pStyle w:val="21"/>
        <w:numPr>
          <w:ilvl w:val="0"/>
          <w:numId w:val="23"/>
        </w:numPr>
        <w:ind w:left="420" w:firstLine="0" w:firstLineChars="0"/>
        <w:rPr>
          <w:szCs w:val="22"/>
        </w:rPr>
      </w:pPr>
      <w:r>
        <w:rPr>
          <w:rFonts w:hint="eastAsia"/>
          <w:szCs w:val="22"/>
        </w:rPr>
        <w:t>确定实施合规性评价的频次；</w:t>
      </w:r>
    </w:p>
    <w:p>
      <w:pPr>
        <w:pStyle w:val="21"/>
        <w:numPr>
          <w:ilvl w:val="0"/>
          <w:numId w:val="23"/>
        </w:numPr>
        <w:ind w:left="420" w:firstLine="0" w:firstLineChars="0"/>
        <w:rPr>
          <w:szCs w:val="22"/>
        </w:rPr>
      </w:pPr>
      <w:r>
        <w:rPr>
          <w:rFonts w:hint="eastAsia"/>
          <w:szCs w:val="22"/>
        </w:rPr>
        <w:t>合规性评价时采取的措施；</w:t>
      </w:r>
    </w:p>
    <w:p>
      <w:pPr>
        <w:pStyle w:val="21"/>
        <w:numPr>
          <w:ilvl w:val="0"/>
          <w:numId w:val="23"/>
        </w:numPr>
        <w:ind w:left="420" w:firstLine="0" w:firstLineChars="0"/>
        <w:rPr>
          <w:szCs w:val="22"/>
        </w:rPr>
      </w:pPr>
      <w:r>
        <w:rPr>
          <w:rFonts w:hint="eastAsia"/>
          <w:szCs w:val="22"/>
        </w:rPr>
        <w:t>保持其合规状况的知识和对其合规状况的理解。</w:t>
      </w:r>
    </w:p>
    <w:p>
      <w:pPr>
        <w:pStyle w:val="21"/>
        <w:rPr>
          <w:szCs w:val="22"/>
        </w:rPr>
      </w:pPr>
      <w:r>
        <w:rPr>
          <w:rFonts w:hint="eastAsia"/>
          <w:szCs w:val="22"/>
        </w:rPr>
        <w:t>企业应保持合规性</w:t>
      </w:r>
      <w:r>
        <w:rPr>
          <w:rFonts w:hint="eastAsia"/>
          <w:szCs w:val="22"/>
          <w:lang w:val="en-US" w:eastAsia="zh-CN"/>
        </w:rPr>
        <w:t>评价的</w:t>
      </w:r>
      <w:r>
        <w:rPr>
          <w:rFonts w:hint="eastAsia"/>
          <w:szCs w:val="22"/>
        </w:rPr>
        <w:t>成文信息，并作为合规申报的依据。</w:t>
      </w:r>
    </w:p>
    <w:p>
      <w:pPr>
        <w:pStyle w:val="51"/>
        <w:bidi w:val="0"/>
        <w:ind w:left="0" w:leftChars="0" w:firstLine="0" w:firstLineChars="0"/>
        <w:rPr>
          <w:rFonts w:hint="eastAsia"/>
          <w:lang w:val="en-US" w:eastAsia="zh-CN"/>
        </w:rPr>
      </w:pPr>
      <w:bookmarkStart w:id="71" w:name="_Toc14925"/>
      <w:bookmarkStart w:id="72" w:name="_Toc22205"/>
      <w:r>
        <w:rPr>
          <w:rFonts w:hint="eastAsia"/>
          <w:lang w:val="en-US" w:eastAsia="zh-CN"/>
        </w:rPr>
        <w:t>管理体系建立</w:t>
      </w:r>
      <w:bookmarkEnd w:id="70"/>
      <w:r>
        <w:rPr>
          <w:rFonts w:hint="eastAsia"/>
          <w:lang w:val="en-US" w:eastAsia="zh-CN"/>
        </w:rPr>
        <w:t>与运行</w:t>
      </w:r>
      <w:bookmarkEnd w:id="71"/>
      <w:bookmarkEnd w:id="72"/>
    </w:p>
    <w:p>
      <w:pPr>
        <w:pStyle w:val="51"/>
        <w:numPr>
          <w:ilvl w:val="1"/>
          <w:numId w:val="0"/>
        </w:numPr>
        <w:bidi w:val="0"/>
        <w:ind w:leftChars="0"/>
        <w:rPr>
          <w:rFonts w:hint="default"/>
          <w:lang w:val="en-US" w:eastAsia="zh-CN"/>
        </w:rPr>
      </w:pPr>
      <w:bookmarkStart w:id="73" w:name="_Toc26917"/>
      <w:bookmarkStart w:id="74" w:name="_Toc19468"/>
      <w:bookmarkStart w:id="75" w:name="_Toc7303"/>
      <w:r>
        <w:rPr>
          <w:rFonts w:hint="eastAsia"/>
          <w:lang w:val="en-US" w:eastAsia="zh-CN"/>
        </w:rPr>
        <w:t>4.4.1环境分析</w:t>
      </w:r>
      <w:bookmarkEnd w:id="73"/>
      <w:bookmarkEnd w:id="74"/>
      <w:bookmarkEnd w:id="75"/>
    </w:p>
    <w:p>
      <w:pPr>
        <w:pStyle w:val="21"/>
        <w:rPr>
          <w:rFonts w:hint="eastAsia"/>
          <w:lang w:val="en-US" w:eastAsia="zh-CN"/>
        </w:rPr>
      </w:pPr>
      <w:r>
        <w:rPr>
          <w:rFonts w:hint="eastAsia"/>
          <w:lang w:val="en-US" w:eastAsia="zh-CN"/>
        </w:rPr>
        <w:t>企业应对所处的内外部环境进行分析，确定与企业安全发展战略和安全与风险方针、目标指标相关的影响安全与风险综合管理体系的关键因素，明确安全与风险综合管理体系相关方的需求与期望，界定安全与风险综合管理体系的适用范围，并对改进机会进行识别。</w:t>
      </w:r>
    </w:p>
    <w:p>
      <w:pPr>
        <w:pStyle w:val="21"/>
        <w:rPr>
          <w:rFonts w:hint="eastAsia"/>
          <w:lang w:val="en-US" w:eastAsia="zh-CN"/>
        </w:rPr>
      </w:pPr>
      <w:r>
        <w:rPr>
          <w:rFonts w:hint="eastAsia"/>
          <w:lang w:val="en-US" w:eastAsia="zh-CN"/>
        </w:rPr>
        <w:t>企业应根据安全与风险综合管理体系的范围确定安全与风险综合管理内容。</w:t>
      </w:r>
    </w:p>
    <w:p>
      <w:pPr>
        <w:pStyle w:val="51"/>
        <w:numPr>
          <w:ilvl w:val="1"/>
          <w:numId w:val="0"/>
        </w:numPr>
        <w:bidi w:val="0"/>
        <w:ind w:leftChars="0"/>
        <w:rPr>
          <w:rFonts w:hint="default"/>
          <w:lang w:val="en-US" w:eastAsia="zh-CN"/>
        </w:rPr>
      </w:pPr>
      <w:bookmarkStart w:id="76" w:name="_Toc9548"/>
      <w:bookmarkStart w:id="77" w:name="_Toc8663"/>
      <w:bookmarkStart w:id="78" w:name="_Toc28579"/>
      <w:r>
        <w:rPr>
          <w:rFonts w:hint="eastAsia"/>
          <w:lang w:val="en-US" w:eastAsia="zh-CN"/>
        </w:rPr>
        <w:t>4.4.2策划与建立</w:t>
      </w:r>
      <w:bookmarkEnd w:id="76"/>
      <w:bookmarkEnd w:id="77"/>
      <w:bookmarkEnd w:id="78"/>
    </w:p>
    <w:p>
      <w:pPr>
        <w:pStyle w:val="21"/>
        <w:rPr>
          <w:rFonts w:hint="eastAsia"/>
          <w:lang w:val="en-US" w:eastAsia="zh-CN"/>
        </w:rPr>
      </w:pPr>
      <w:r>
        <w:rPr>
          <w:rFonts w:hint="eastAsia"/>
          <w:lang w:val="en-US" w:eastAsia="zh-CN"/>
        </w:rPr>
        <w:t>企业应进行安全与风险综合管理体系的策划，确定风险应对措施，评估潜在影响，使安全与风险综合管理体系满足适宜性、充分性和有效性的要求，包括但不限于以下：</w:t>
      </w:r>
    </w:p>
    <w:p>
      <w:pPr>
        <w:pStyle w:val="21"/>
        <w:numPr>
          <w:ilvl w:val="0"/>
          <w:numId w:val="24"/>
        </w:numPr>
        <w:ind w:left="420" w:leftChars="0" w:firstLine="0" w:firstLineChars="0"/>
        <w:rPr>
          <w:rFonts w:hint="eastAsia"/>
          <w:szCs w:val="22"/>
          <w:lang w:val="en-US" w:eastAsia="zh-CN"/>
        </w:rPr>
      </w:pPr>
      <w:r>
        <w:rPr>
          <w:rFonts w:hint="eastAsia"/>
          <w:szCs w:val="22"/>
          <w:lang w:val="en-US" w:eastAsia="zh-CN"/>
        </w:rPr>
        <w:t>活动及相互关系；</w:t>
      </w:r>
    </w:p>
    <w:p>
      <w:pPr>
        <w:pStyle w:val="21"/>
        <w:numPr>
          <w:ilvl w:val="0"/>
          <w:numId w:val="24"/>
        </w:numPr>
        <w:ind w:left="420" w:leftChars="0" w:firstLine="0" w:firstLineChars="0"/>
        <w:rPr>
          <w:rFonts w:hint="eastAsia"/>
          <w:szCs w:val="22"/>
          <w:lang w:val="en-US" w:eastAsia="zh-CN"/>
        </w:rPr>
      </w:pPr>
      <w:r>
        <w:rPr>
          <w:rFonts w:hint="eastAsia"/>
          <w:szCs w:val="22"/>
          <w:lang w:val="en-US" w:eastAsia="zh-CN"/>
        </w:rPr>
        <w:t>机构与职责；</w:t>
      </w:r>
    </w:p>
    <w:p>
      <w:pPr>
        <w:pStyle w:val="21"/>
        <w:numPr>
          <w:ilvl w:val="0"/>
          <w:numId w:val="24"/>
        </w:numPr>
        <w:ind w:left="420" w:leftChars="0" w:firstLine="0" w:firstLineChars="0"/>
        <w:rPr>
          <w:rFonts w:hint="default"/>
          <w:lang w:val="en-US" w:eastAsia="zh-CN"/>
        </w:rPr>
      </w:pPr>
      <w:r>
        <w:rPr>
          <w:rFonts w:hint="eastAsia"/>
          <w:lang w:val="en-US" w:eastAsia="zh-CN"/>
        </w:rPr>
        <w:t>制度；</w:t>
      </w:r>
    </w:p>
    <w:p>
      <w:pPr>
        <w:pStyle w:val="21"/>
        <w:numPr>
          <w:ilvl w:val="0"/>
          <w:numId w:val="24"/>
        </w:numPr>
        <w:ind w:left="420" w:leftChars="0" w:firstLine="0" w:firstLineChars="0"/>
        <w:rPr>
          <w:rFonts w:hint="default"/>
          <w:lang w:val="en-US" w:eastAsia="zh-CN"/>
        </w:rPr>
      </w:pPr>
      <w:r>
        <w:rPr>
          <w:rFonts w:hint="eastAsia"/>
          <w:lang w:val="en-US" w:eastAsia="zh-CN"/>
        </w:rPr>
        <w:t>所需的资源。</w:t>
      </w:r>
    </w:p>
    <w:p>
      <w:pPr>
        <w:pStyle w:val="21"/>
        <w:numPr>
          <w:ilvl w:val="0"/>
          <w:numId w:val="0"/>
        </w:numPr>
        <w:ind w:firstLine="420" w:firstLineChars="200"/>
        <w:rPr>
          <w:rFonts w:hint="eastAsia"/>
          <w:lang w:val="en-US" w:eastAsia="zh-CN"/>
        </w:rPr>
      </w:pPr>
      <w:r>
        <w:rPr>
          <w:rFonts w:hint="eastAsia"/>
          <w:lang w:val="en-US" w:eastAsia="zh-CN"/>
        </w:rPr>
        <w:t>企业应明确安全与风险综合管理体系所需的知识，规定获取知识的渠道、方法、时机和程序，并进行知识更新。</w:t>
      </w:r>
    </w:p>
    <w:p>
      <w:pPr>
        <w:pStyle w:val="21"/>
        <w:numPr>
          <w:ilvl w:val="0"/>
          <w:numId w:val="0"/>
        </w:numPr>
        <w:ind w:firstLine="420" w:firstLineChars="200"/>
        <w:rPr>
          <w:rFonts w:hint="eastAsia"/>
          <w:lang w:val="en-US" w:eastAsia="zh-CN"/>
        </w:rPr>
      </w:pPr>
      <w:r>
        <w:rPr>
          <w:rFonts w:hint="eastAsia"/>
          <w:lang w:val="en-US" w:eastAsia="zh-CN"/>
        </w:rPr>
        <w:t>对安全与风险综合管理体系变更进行策划时，企业应识别和评价变更的风险，并保持其连续性和完整性。</w:t>
      </w:r>
    </w:p>
    <w:p>
      <w:pPr>
        <w:pStyle w:val="21"/>
        <w:numPr>
          <w:ilvl w:val="0"/>
          <w:numId w:val="0"/>
        </w:numPr>
        <w:ind w:left="420" w:leftChars="0"/>
        <w:rPr>
          <w:rFonts w:hint="eastAsia"/>
          <w:lang w:val="en-US" w:eastAsia="zh-CN"/>
        </w:rPr>
      </w:pPr>
      <w:r>
        <w:rPr>
          <w:rFonts w:hint="eastAsia"/>
          <w:lang w:val="en-US" w:eastAsia="zh-CN"/>
        </w:rPr>
        <w:t>安全与风险综合管理体系成文信息应包括下列内容：</w:t>
      </w:r>
    </w:p>
    <w:p>
      <w:pPr>
        <w:pStyle w:val="21"/>
        <w:numPr>
          <w:ilvl w:val="0"/>
          <w:numId w:val="0"/>
        </w:numPr>
        <w:ind w:left="420" w:leftChars="0"/>
        <w:rPr>
          <w:rFonts w:hint="eastAsia"/>
          <w:szCs w:val="22"/>
          <w:lang w:val="en-US" w:eastAsia="zh-CN"/>
        </w:rPr>
      </w:pPr>
      <w:r>
        <w:rPr>
          <w:rFonts w:hint="eastAsia"/>
          <w:szCs w:val="22"/>
          <w:lang w:val="en-US" w:eastAsia="zh-CN"/>
        </w:rPr>
        <w:t>——方针和目标指标；</w:t>
      </w:r>
    </w:p>
    <w:p>
      <w:pPr>
        <w:pStyle w:val="21"/>
        <w:numPr>
          <w:ilvl w:val="0"/>
          <w:numId w:val="0"/>
        </w:numPr>
        <w:ind w:left="420" w:leftChars="0"/>
        <w:rPr>
          <w:rFonts w:hint="eastAsia"/>
          <w:szCs w:val="22"/>
          <w:lang w:val="en-US" w:eastAsia="zh-CN"/>
        </w:rPr>
      </w:pPr>
      <w:r>
        <w:rPr>
          <w:rFonts w:hint="eastAsia"/>
          <w:lang w:val="en-US" w:eastAsia="zh-CN"/>
        </w:rPr>
        <w:t>——范围及说明；</w:t>
      </w:r>
    </w:p>
    <w:p>
      <w:pPr>
        <w:pStyle w:val="21"/>
        <w:numPr>
          <w:ilvl w:val="0"/>
          <w:numId w:val="0"/>
        </w:numPr>
        <w:ind w:left="420" w:leftChars="0"/>
        <w:rPr>
          <w:rFonts w:hint="eastAsia"/>
          <w:szCs w:val="22"/>
          <w:lang w:val="en-US" w:eastAsia="zh-CN"/>
        </w:rPr>
      </w:pPr>
      <w:r>
        <w:rPr>
          <w:rFonts w:hint="eastAsia"/>
          <w:lang w:val="en-US" w:eastAsia="zh-CN"/>
        </w:rPr>
        <w:t>——制度；</w:t>
      </w:r>
    </w:p>
    <w:p>
      <w:pPr>
        <w:pStyle w:val="21"/>
        <w:numPr>
          <w:ilvl w:val="0"/>
          <w:numId w:val="0"/>
        </w:numPr>
        <w:ind w:left="420" w:leftChars="0"/>
        <w:rPr>
          <w:rFonts w:hint="eastAsia"/>
          <w:szCs w:val="22"/>
          <w:lang w:val="en-US" w:eastAsia="zh-CN"/>
        </w:rPr>
      </w:pPr>
      <w:r>
        <w:rPr>
          <w:rFonts w:hint="eastAsia"/>
          <w:lang w:val="en-US" w:eastAsia="zh-CN"/>
        </w:rPr>
        <w:t>——作业文件；</w:t>
      </w:r>
    </w:p>
    <w:p>
      <w:pPr>
        <w:pStyle w:val="21"/>
        <w:numPr>
          <w:ilvl w:val="0"/>
          <w:numId w:val="0"/>
        </w:numPr>
        <w:ind w:left="420" w:leftChars="0"/>
        <w:rPr>
          <w:rFonts w:hint="eastAsia"/>
          <w:szCs w:val="22"/>
          <w:lang w:val="en-US" w:eastAsia="zh-CN"/>
        </w:rPr>
      </w:pPr>
      <w:r>
        <w:rPr>
          <w:rFonts w:hint="eastAsia"/>
          <w:lang w:val="en-US" w:eastAsia="zh-CN"/>
        </w:rPr>
        <w:t>——活动记录。</w:t>
      </w:r>
    </w:p>
    <w:p>
      <w:pPr>
        <w:pStyle w:val="51"/>
        <w:bidi w:val="0"/>
        <w:ind w:left="0" w:leftChars="0" w:firstLine="0" w:firstLineChars="0"/>
        <w:rPr>
          <w:rFonts w:hint="default"/>
          <w:lang w:val="en-US" w:eastAsia="zh-CN"/>
        </w:rPr>
      </w:pPr>
      <w:bookmarkStart w:id="79" w:name="_Toc31874"/>
      <w:bookmarkStart w:id="80" w:name="_Toc3249"/>
      <w:bookmarkStart w:id="81" w:name="_Toc11907"/>
      <w:r>
        <w:rPr>
          <w:rFonts w:hint="eastAsia"/>
          <w:lang w:val="en-US" w:eastAsia="zh-CN"/>
        </w:rPr>
        <w:t>实施和改进</w:t>
      </w:r>
      <w:bookmarkEnd w:id="79"/>
      <w:bookmarkEnd w:id="80"/>
      <w:bookmarkEnd w:id="81"/>
    </w:p>
    <w:p>
      <w:pPr>
        <w:pStyle w:val="21"/>
      </w:pPr>
      <w:r>
        <w:rPr>
          <w:rFonts w:hint="eastAsia"/>
        </w:rPr>
        <w:t>企业应确定并提供安全与风险综合管理体系运行所需的人员、技术、资金、设备、设施、信息和其他资源</w:t>
      </w:r>
      <w:r>
        <w:rPr>
          <w:rFonts w:hint="eastAsia"/>
          <w:lang w:eastAsia="zh-CN"/>
        </w:rPr>
        <w:t>，</w:t>
      </w:r>
      <w:r>
        <w:rPr>
          <w:rFonts w:hint="eastAsia"/>
        </w:rPr>
        <w:t>工程和服务所需的环境应满足要求。</w:t>
      </w:r>
    </w:p>
    <w:p>
      <w:pPr>
        <w:pStyle w:val="21"/>
      </w:pPr>
      <w:r>
        <w:rPr>
          <w:rFonts w:hint="eastAsia"/>
        </w:rPr>
        <w:t>企业应：</w:t>
      </w:r>
    </w:p>
    <w:p>
      <w:pPr>
        <w:pStyle w:val="21"/>
        <w:numPr>
          <w:ilvl w:val="0"/>
          <w:numId w:val="25"/>
        </w:numPr>
        <w:ind w:left="420" w:firstLine="0" w:firstLineChars="0"/>
        <w:rPr>
          <w:szCs w:val="22"/>
        </w:rPr>
      </w:pPr>
      <w:r>
        <w:rPr>
          <w:rFonts w:hint="eastAsia"/>
          <w:szCs w:val="22"/>
        </w:rPr>
        <w:t>汇总实施各项要求。</w:t>
      </w:r>
    </w:p>
    <w:p>
      <w:pPr>
        <w:pStyle w:val="21"/>
        <w:numPr>
          <w:ilvl w:val="0"/>
          <w:numId w:val="25"/>
        </w:numPr>
        <w:ind w:left="420" w:firstLine="0" w:firstLineChars="0"/>
        <w:rPr>
          <w:szCs w:val="22"/>
        </w:rPr>
      </w:pPr>
      <w:r>
        <w:rPr>
          <w:rFonts w:hint="eastAsia"/>
          <w:szCs w:val="22"/>
        </w:rPr>
        <w:t>建立</w:t>
      </w:r>
      <w:r>
        <w:rPr>
          <w:rFonts w:hint="eastAsia"/>
          <w:szCs w:val="22"/>
          <w:lang w:val="en-US" w:eastAsia="zh-CN"/>
        </w:rPr>
        <w:t>因素</w:t>
      </w:r>
      <w:r>
        <w:rPr>
          <w:rFonts w:hint="eastAsia"/>
          <w:szCs w:val="22"/>
        </w:rPr>
        <w:t>辨识与</w:t>
      </w:r>
      <w:r>
        <w:rPr>
          <w:rFonts w:hint="eastAsia"/>
          <w:szCs w:val="22"/>
          <w:lang w:val="en-US" w:eastAsia="zh-CN"/>
        </w:rPr>
        <w:t>风险</w:t>
      </w:r>
      <w:r>
        <w:rPr>
          <w:rFonts w:hint="eastAsia"/>
          <w:szCs w:val="22"/>
        </w:rPr>
        <w:t>评价、风险分级管控、隐患排查治理、检查和监督机制。</w:t>
      </w:r>
    </w:p>
    <w:p>
      <w:pPr>
        <w:pStyle w:val="21"/>
        <w:numPr>
          <w:ilvl w:val="0"/>
          <w:numId w:val="25"/>
        </w:numPr>
        <w:ind w:left="420" w:firstLine="0" w:firstLineChars="0"/>
        <w:rPr>
          <w:rFonts w:hint="default"/>
          <w:szCs w:val="22"/>
          <w:lang w:val="en-US" w:eastAsia="zh-CN"/>
        </w:rPr>
      </w:pPr>
      <w:r>
        <w:rPr>
          <w:rFonts w:hint="eastAsia"/>
          <w:szCs w:val="22"/>
        </w:rPr>
        <w:t>评审和改进安全与风险综合管理体系的有效性和效率。</w:t>
      </w:r>
    </w:p>
    <w:p>
      <w:pPr>
        <w:pStyle w:val="51"/>
        <w:bidi w:val="0"/>
        <w:ind w:left="0" w:leftChars="0" w:firstLine="0" w:firstLineChars="0"/>
        <w:rPr>
          <w:rFonts w:hint="eastAsia"/>
          <w:lang w:val="en-US" w:eastAsia="zh-CN"/>
        </w:rPr>
      </w:pPr>
      <w:bookmarkStart w:id="82" w:name="_Toc10378"/>
      <w:r>
        <w:rPr>
          <w:rFonts w:hint="eastAsia"/>
          <w:lang w:val="en-US" w:eastAsia="zh-CN"/>
        </w:rPr>
        <w:t>成文信息</w:t>
      </w:r>
      <w:bookmarkEnd w:id="82"/>
    </w:p>
    <w:p>
      <w:pPr>
        <w:pStyle w:val="51"/>
        <w:numPr>
          <w:ilvl w:val="1"/>
          <w:numId w:val="0"/>
        </w:numPr>
        <w:bidi w:val="0"/>
        <w:ind w:leftChars="0"/>
        <w:rPr>
          <w:rFonts w:hint="default"/>
          <w:lang w:val="en-US" w:eastAsia="zh-CN"/>
        </w:rPr>
      </w:pPr>
      <w:bookmarkStart w:id="83" w:name="_Toc26900"/>
      <w:bookmarkStart w:id="84" w:name="_Toc30638"/>
      <w:bookmarkStart w:id="85" w:name="_Toc20854"/>
      <w:r>
        <w:rPr>
          <w:rFonts w:hint="eastAsia"/>
          <w:lang w:val="en-US" w:eastAsia="zh-CN"/>
        </w:rPr>
        <w:t>4.6.1</w:t>
      </w:r>
      <w:bookmarkEnd w:id="83"/>
      <w:bookmarkEnd w:id="84"/>
      <w:r>
        <w:rPr>
          <w:rFonts w:hint="eastAsia"/>
          <w:lang w:val="en-US" w:eastAsia="zh-CN"/>
        </w:rPr>
        <w:t>创建和更新</w:t>
      </w:r>
      <w:bookmarkEnd w:id="85"/>
    </w:p>
    <w:p>
      <w:pPr>
        <w:pStyle w:val="21"/>
        <w:rPr>
          <w:rFonts w:hint="eastAsia"/>
          <w:szCs w:val="22"/>
          <w:lang w:val="en-US" w:eastAsia="zh-CN"/>
        </w:rPr>
      </w:pPr>
      <w:r>
        <w:rPr>
          <w:rFonts w:hint="eastAsia"/>
          <w:szCs w:val="22"/>
          <w:lang w:val="en-US" w:eastAsia="zh-CN"/>
        </w:rPr>
        <w:t>企业的安全与风险综合管理体系应包括：</w:t>
      </w: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本标准要求的成文信息；</w:t>
      </w: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 xml:space="preserve">企业确定的实现安全与风险综合管理体系有效性所必需的成文信息。   </w:t>
      </w:r>
    </w:p>
    <w:p>
      <w:pPr>
        <w:pStyle w:val="21"/>
        <w:rPr>
          <w:rFonts w:hint="eastAsia"/>
          <w:szCs w:val="22"/>
          <w:lang w:val="en-US" w:eastAsia="zh-CN"/>
        </w:rPr>
      </w:pPr>
      <w:r>
        <w:rPr>
          <w:rFonts w:hint="eastAsia"/>
          <w:szCs w:val="22"/>
          <w:lang w:val="en-US" w:eastAsia="zh-CN"/>
        </w:rPr>
        <w:t>注：不同企业的安全与风险综合管理体系成文信息的复杂程度可能不同，取决于：</w:t>
      </w:r>
    </w:p>
    <w:p>
      <w:pPr>
        <w:pStyle w:val="21"/>
        <w:rPr>
          <w:rFonts w:hint="eastAsia"/>
          <w:szCs w:val="22"/>
          <w:lang w:val="en-US" w:eastAsia="zh-CN"/>
        </w:rPr>
      </w:pPr>
      <w:r>
        <w:rPr>
          <w:rFonts w:hint="eastAsia"/>
          <w:szCs w:val="22"/>
          <w:lang w:val="en-US" w:eastAsia="zh-CN"/>
        </w:rPr>
        <w:t>——企业的规模及其活动、过程、产品和服务的类型；</w:t>
      </w:r>
    </w:p>
    <w:p>
      <w:pPr>
        <w:pStyle w:val="21"/>
        <w:rPr>
          <w:rFonts w:hint="eastAsia"/>
          <w:szCs w:val="22"/>
          <w:lang w:val="en-US" w:eastAsia="zh-CN"/>
        </w:rPr>
      </w:pPr>
      <w:r>
        <w:rPr>
          <w:rFonts w:hint="eastAsia"/>
          <w:szCs w:val="22"/>
          <w:lang w:val="en-US" w:eastAsia="zh-CN"/>
        </w:rPr>
        <w:t>——证明履行其合规义务的需要；</w:t>
      </w:r>
    </w:p>
    <w:p>
      <w:pPr>
        <w:pStyle w:val="21"/>
        <w:rPr>
          <w:rFonts w:hint="eastAsia"/>
          <w:szCs w:val="22"/>
          <w:lang w:val="en-US" w:eastAsia="zh-CN"/>
        </w:rPr>
      </w:pPr>
      <w:r>
        <w:rPr>
          <w:rFonts w:hint="eastAsia"/>
          <w:szCs w:val="22"/>
          <w:lang w:val="en-US" w:eastAsia="zh-CN"/>
        </w:rPr>
        <w:t>——过程的复杂性及其相互作用；</w:t>
      </w:r>
    </w:p>
    <w:p>
      <w:pPr>
        <w:pStyle w:val="21"/>
        <w:rPr>
          <w:rFonts w:hint="eastAsia"/>
          <w:szCs w:val="22"/>
          <w:lang w:val="en-US" w:eastAsia="zh-CN"/>
        </w:rPr>
      </w:pPr>
      <w:r>
        <w:rPr>
          <w:rFonts w:hint="eastAsia"/>
          <w:szCs w:val="22"/>
          <w:lang w:val="en-US" w:eastAsia="zh-CN"/>
        </w:rPr>
        <w:t>——在企业控制下工作的人员的能力。</w:t>
      </w:r>
    </w:p>
    <w:p>
      <w:pPr>
        <w:pStyle w:val="21"/>
        <w:rPr>
          <w:rFonts w:hint="eastAsia"/>
          <w:szCs w:val="22"/>
          <w:lang w:val="en-US" w:eastAsia="zh-CN"/>
        </w:rPr>
      </w:pPr>
      <w:r>
        <w:rPr>
          <w:rFonts w:hint="eastAsia"/>
          <w:szCs w:val="22"/>
          <w:lang w:val="en-US" w:eastAsia="zh-CN"/>
        </w:rPr>
        <w:t>创建和更新成文信息时，企业应确保适当的：</w:t>
      </w:r>
    </w:p>
    <w:p>
      <w:pPr>
        <w:pStyle w:val="21"/>
        <w:numPr>
          <w:ilvl w:val="0"/>
          <w:numId w:val="0"/>
        </w:numPr>
        <w:ind w:left="420" w:leftChars="0"/>
        <w:rPr>
          <w:rFonts w:hint="eastAsia"/>
          <w:szCs w:val="22"/>
          <w:lang w:val="en-US" w:eastAsia="zh-CN"/>
        </w:rPr>
      </w:pPr>
      <w:r>
        <w:rPr>
          <w:rFonts w:hint="eastAsia"/>
          <w:szCs w:val="22"/>
          <w:lang w:val="en-US" w:eastAsia="zh-CN"/>
        </w:rPr>
        <w:t>——标识和说明（例如：标题、日期、作者或参考文件编号）；</w:t>
      </w:r>
    </w:p>
    <w:p>
      <w:pPr>
        <w:pStyle w:val="21"/>
        <w:numPr>
          <w:ilvl w:val="0"/>
          <w:numId w:val="0"/>
        </w:numPr>
        <w:ind w:left="420" w:leftChars="0"/>
        <w:rPr>
          <w:rFonts w:hint="eastAsia"/>
          <w:szCs w:val="22"/>
          <w:lang w:val="en-US" w:eastAsia="zh-CN"/>
        </w:rPr>
      </w:pPr>
      <w:r>
        <w:rPr>
          <w:rFonts w:hint="eastAsia"/>
          <w:szCs w:val="22"/>
          <w:lang w:val="en-US" w:eastAsia="zh-CN"/>
        </w:rPr>
        <w:t>——形式（例如：语言文字、软件版本、图表）和载体（例如：纸质的、电子的）；</w:t>
      </w:r>
    </w:p>
    <w:p>
      <w:pPr>
        <w:pStyle w:val="21"/>
        <w:numPr>
          <w:ilvl w:val="0"/>
          <w:numId w:val="0"/>
        </w:numPr>
        <w:ind w:left="420" w:leftChars="0"/>
        <w:rPr>
          <w:rFonts w:hint="default"/>
          <w:szCs w:val="22"/>
          <w:lang w:val="en-US" w:eastAsia="zh-CN"/>
        </w:rPr>
      </w:pPr>
      <w:r>
        <w:rPr>
          <w:rFonts w:hint="eastAsia"/>
          <w:szCs w:val="22"/>
          <w:lang w:val="en-US" w:eastAsia="zh-CN"/>
        </w:rPr>
        <w:t>——评审和批准，以确保适宜性和充分性。</w:t>
      </w:r>
    </w:p>
    <w:p>
      <w:pPr>
        <w:pStyle w:val="51"/>
        <w:numPr>
          <w:ilvl w:val="1"/>
          <w:numId w:val="0"/>
        </w:numPr>
        <w:bidi w:val="0"/>
        <w:ind w:leftChars="0"/>
        <w:rPr>
          <w:rFonts w:hint="default"/>
          <w:lang w:val="en-US" w:eastAsia="zh-CN"/>
        </w:rPr>
      </w:pPr>
      <w:bookmarkStart w:id="86" w:name="_Toc28651"/>
      <w:bookmarkStart w:id="87" w:name="_Toc31029"/>
      <w:bookmarkStart w:id="88" w:name="_Toc8410"/>
      <w:r>
        <w:rPr>
          <w:rFonts w:hint="eastAsia"/>
          <w:lang w:val="en-US" w:eastAsia="zh-CN"/>
        </w:rPr>
        <w:t>4.6.2管控</w:t>
      </w:r>
      <w:bookmarkEnd w:id="86"/>
      <w:bookmarkEnd w:id="87"/>
      <w:bookmarkEnd w:id="88"/>
    </w:p>
    <w:p>
      <w:pPr>
        <w:pStyle w:val="21"/>
        <w:rPr>
          <w:rFonts w:hint="eastAsia"/>
          <w:szCs w:val="22"/>
          <w:lang w:val="en-US" w:eastAsia="zh-CN"/>
        </w:rPr>
      </w:pPr>
      <w:r>
        <w:rPr>
          <w:rFonts w:hint="eastAsia"/>
          <w:szCs w:val="22"/>
          <w:lang w:val="en-US" w:eastAsia="zh-CN"/>
        </w:rPr>
        <w:t>安全与风险综合管理体系要求的成文信息应予以控制，以确保其：</w:t>
      </w:r>
    </w:p>
    <w:p>
      <w:pPr>
        <w:pStyle w:val="21"/>
        <w:numPr>
          <w:ilvl w:val="0"/>
          <w:numId w:val="27"/>
        </w:numPr>
        <w:ind w:left="420" w:leftChars="0" w:firstLine="0" w:firstLineChars="0"/>
        <w:rPr>
          <w:rFonts w:hint="eastAsia"/>
          <w:szCs w:val="22"/>
          <w:lang w:val="en-US" w:eastAsia="zh-CN"/>
        </w:rPr>
      </w:pPr>
      <w:r>
        <w:rPr>
          <w:rFonts w:hint="eastAsia"/>
          <w:szCs w:val="22"/>
          <w:lang w:val="en-US" w:eastAsia="zh-CN"/>
        </w:rPr>
        <w:t>在需要的时间和场所均可获得并适用；</w:t>
      </w:r>
    </w:p>
    <w:p>
      <w:pPr>
        <w:pStyle w:val="21"/>
        <w:numPr>
          <w:ilvl w:val="0"/>
          <w:numId w:val="27"/>
        </w:numPr>
        <w:ind w:left="420" w:leftChars="0" w:firstLine="0" w:firstLineChars="0"/>
        <w:rPr>
          <w:rFonts w:hint="eastAsia"/>
          <w:szCs w:val="22"/>
          <w:lang w:val="en-US" w:eastAsia="zh-CN"/>
        </w:rPr>
      </w:pPr>
      <w:r>
        <w:rPr>
          <w:rFonts w:hint="eastAsia"/>
          <w:szCs w:val="22"/>
          <w:lang w:val="en-US" w:eastAsia="zh-CN"/>
        </w:rPr>
        <w:t>得到充分的保护（例如：防止失密、不当使用或完整性受损）。</w:t>
      </w:r>
    </w:p>
    <w:p>
      <w:pPr>
        <w:pStyle w:val="21"/>
        <w:rPr>
          <w:rFonts w:hint="eastAsia"/>
          <w:lang w:val="en-US" w:eastAsia="zh-CN"/>
        </w:rPr>
      </w:pPr>
      <w:r>
        <w:rPr>
          <w:rFonts w:hint="eastAsia"/>
          <w:lang w:val="en-US" w:eastAsia="zh-CN"/>
        </w:rPr>
        <w:t>为了控制成文信息，企业应进行以下适当的行动：</w:t>
      </w:r>
    </w:p>
    <w:p>
      <w:pPr>
        <w:pStyle w:val="21"/>
        <w:rPr>
          <w:rFonts w:hint="eastAsia"/>
          <w:lang w:val="en-US" w:eastAsia="zh-CN"/>
        </w:rPr>
      </w:pPr>
      <w:r>
        <w:rPr>
          <w:rFonts w:hint="eastAsia"/>
          <w:lang w:val="en-US" w:eastAsia="zh-CN"/>
        </w:rPr>
        <w:t>——分发、访问、检索和使用；</w:t>
      </w:r>
    </w:p>
    <w:p>
      <w:pPr>
        <w:pStyle w:val="21"/>
        <w:rPr>
          <w:rFonts w:hint="eastAsia"/>
          <w:lang w:val="en-US" w:eastAsia="zh-CN"/>
        </w:rPr>
      </w:pPr>
      <w:r>
        <w:rPr>
          <w:rFonts w:hint="eastAsia"/>
          <w:lang w:val="en-US" w:eastAsia="zh-CN"/>
        </w:rPr>
        <w:t>——存储和保护，包括保持易读性；</w:t>
      </w:r>
    </w:p>
    <w:p>
      <w:pPr>
        <w:pStyle w:val="21"/>
        <w:rPr>
          <w:rFonts w:hint="eastAsia"/>
          <w:lang w:val="en-US" w:eastAsia="zh-CN"/>
        </w:rPr>
      </w:pPr>
      <w:r>
        <w:rPr>
          <w:rFonts w:hint="eastAsia"/>
          <w:lang w:val="en-US" w:eastAsia="zh-CN"/>
        </w:rPr>
        <w:t>——变更的控制（例如：版本控制）；</w:t>
      </w:r>
    </w:p>
    <w:p>
      <w:pPr>
        <w:pStyle w:val="21"/>
        <w:rPr>
          <w:rFonts w:hint="eastAsia"/>
          <w:lang w:val="en-US" w:eastAsia="zh-CN"/>
        </w:rPr>
      </w:pPr>
      <w:r>
        <w:rPr>
          <w:rFonts w:hint="eastAsia"/>
          <w:lang w:val="en-US" w:eastAsia="zh-CN"/>
        </w:rPr>
        <w:t>——保留和处置。</w:t>
      </w:r>
    </w:p>
    <w:p>
      <w:pPr>
        <w:pStyle w:val="21"/>
        <w:rPr>
          <w:rFonts w:hint="eastAsia"/>
          <w:lang w:val="en-US" w:eastAsia="zh-CN"/>
        </w:rPr>
      </w:pPr>
      <w:r>
        <w:rPr>
          <w:rFonts w:hint="eastAsia"/>
          <w:lang w:val="en-US" w:eastAsia="zh-CN"/>
        </w:rPr>
        <w:t>企业应识别其确定的安全与风险综合管理体系策划和运行所需的来自外部的成文信息，适当时，应对其予以控制。</w:t>
      </w:r>
    </w:p>
    <w:p>
      <w:pPr>
        <w:pStyle w:val="21"/>
        <w:rPr>
          <w:rFonts w:hint="default"/>
          <w:lang w:val="en-US" w:eastAsia="zh-CN"/>
        </w:rPr>
      </w:pPr>
      <w:r>
        <w:rPr>
          <w:rFonts w:hint="eastAsia"/>
          <w:lang w:val="en-US" w:eastAsia="zh-CN"/>
        </w:rPr>
        <w:t>对所保留的、作为符合性证据的成文信息应予以保护，防止非预期的更新。</w:t>
      </w:r>
    </w:p>
    <w:p>
      <w:pPr>
        <w:pStyle w:val="21"/>
        <w:rPr>
          <w:rFonts w:hint="default"/>
          <w:lang w:val="en-US" w:eastAsia="zh-CN"/>
        </w:rPr>
      </w:pPr>
      <w:r>
        <w:rPr>
          <w:rFonts w:hint="eastAsia"/>
          <w:lang w:val="en-US" w:eastAsia="zh-CN"/>
        </w:rPr>
        <w:t>注：“访问”可能指仅允许查阅成文信息的决定，或可能指允许并授权查阅和更改成文信息的决定。</w:t>
      </w:r>
    </w:p>
    <w:p>
      <w:pPr>
        <w:pStyle w:val="51"/>
        <w:bidi w:val="0"/>
        <w:ind w:left="0" w:leftChars="0" w:firstLine="0" w:firstLineChars="0"/>
        <w:rPr>
          <w:rFonts w:hint="eastAsia"/>
          <w:lang w:val="en-US" w:eastAsia="zh-CN"/>
        </w:rPr>
      </w:pPr>
      <w:bookmarkStart w:id="89" w:name="_Toc8358"/>
      <w:bookmarkStart w:id="90" w:name="_Toc24743"/>
      <w:bookmarkStart w:id="91" w:name="_Toc2954"/>
      <w:r>
        <w:rPr>
          <w:rFonts w:hint="eastAsia"/>
          <w:lang w:val="en-US" w:eastAsia="zh-CN"/>
        </w:rPr>
        <w:t>知识管理</w:t>
      </w:r>
      <w:bookmarkEnd w:id="89"/>
      <w:bookmarkEnd w:id="90"/>
      <w:bookmarkEnd w:id="91"/>
    </w:p>
    <w:p>
      <w:pPr>
        <w:pStyle w:val="21"/>
        <w:rPr>
          <w:rFonts w:hint="eastAsia"/>
          <w:szCs w:val="22"/>
        </w:rPr>
      </w:pPr>
      <w:bookmarkStart w:id="92" w:name="_Toc9352"/>
      <w:r>
        <w:rPr>
          <w:rFonts w:hint="eastAsia"/>
          <w:szCs w:val="22"/>
        </w:rPr>
        <w:t>企业应确定必要的知识，以运行过程，并获得合格产品和服务。</w:t>
      </w:r>
    </w:p>
    <w:p>
      <w:pPr>
        <w:pStyle w:val="21"/>
        <w:rPr>
          <w:rFonts w:hint="eastAsia"/>
          <w:szCs w:val="22"/>
          <w:lang w:val="en-US" w:eastAsia="zh-CN"/>
        </w:rPr>
      </w:pPr>
      <w:r>
        <w:rPr>
          <w:rFonts w:hint="eastAsia"/>
          <w:szCs w:val="22"/>
          <w:lang w:val="en-US" w:eastAsia="zh-CN"/>
        </w:rPr>
        <w:t>企业的知识通常从其经验中获得，是为实现企业目标所使用和共享的信息，是企业特有的知识。</w:t>
      </w:r>
    </w:p>
    <w:p>
      <w:pPr>
        <w:pStyle w:val="21"/>
        <w:rPr>
          <w:rFonts w:hint="eastAsia"/>
          <w:szCs w:val="22"/>
          <w:lang w:val="en-US" w:eastAsia="zh-CN"/>
        </w:rPr>
      </w:pPr>
      <w:r>
        <w:rPr>
          <w:rFonts w:hint="eastAsia"/>
          <w:szCs w:val="22"/>
          <w:lang w:val="en-US" w:eastAsia="zh-CN"/>
        </w:rPr>
        <w:t>企业的知识可基于：</w:t>
      </w:r>
    </w:p>
    <w:p>
      <w:pPr>
        <w:pStyle w:val="21"/>
        <w:numPr>
          <w:ilvl w:val="0"/>
          <w:numId w:val="28"/>
        </w:numPr>
        <w:ind w:left="420" w:firstLine="0" w:firstLineChars="0"/>
        <w:rPr>
          <w:szCs w:val="22"/>
        </w:rPr>
      </w:pPr>
      <w:r>
        <w:rPr>
          <w:rFonts w:hint="eastAsia"/>
          <w:szCs w:val="22"/>
        </w:rPr>
        <w:t>内部来源（如知识产权、从经验获得的知识、从失败和成功项目汲取的经验和教训、获取和分享未成文的知识和经验，以及过程、产品和服务的改进结果）；</w:t>
      </w:r>
    </w:p>
    <w:p>
      <w:pPr>
        <w:pStyle w:val="21"/>
        <w:numPr>
          <w:ilvl w:val="0"/>
          <w:numId w:val="28"/>
        </w:numPr>
        <w:ind w:left="420" w:firstLine="0" w:firstLineChars="0"/>
        <w:rPr>
          <w:rFonts w:hint="default"/>
          <w:szCs w:val="22"/>
          <w:lang w:val="en-US" w:eastAsia="zh-CN"/>
        </w:rPr>
      </w:pPr>
      <w:r>
        <w:rPr>
          <w:rFonts w:hint="eastAsia"/>
          <w:szCs w:val="22"/>
        </w:rPr>
        <w:t>外部来源（如标准、学术交流、专业会议、从顾客或外部供方收集的知识）</w:t>
      </w:r>
      <w:r>
        <w:rPr>
          <w:rFonts w:hint="eastAsia"/>
          <w:szCs w:val="22"/>
          <w:lang w:eastAsia="zh-CN"/>
        </w:rPr>
        <w:t>。</w:t>
      </w:r>
    </w:p>
    <w:p>
      <w:pPr>
        <w:pStyle w:val="21"/>
        <w:rPr>
          <w:szCs w:val="22"/>
        </w:rPr>
      </w:pPr>
      <w:r>
        <w:rPr>
          <w:rFonts w:hint="eastAsia"/>
          <w:szCs w:val="22"/>
        </w:rPr>
        <w:t>这些知识应予以保持，并能在所需的范围内得到。</w:t>
      </w:r>
    </w:p>
    <w:p>
      <w:pPr>
        <w:pStyle w:val="21"/>
        <w:numPr>
          <w:ilvl w:val="0"/>
          <w:numId w:val="0"/>
        </w:numPr>
        <w:ind w:firstLine="420" w:firstLineChars="200"/>
        <w:rPr>
          <w:szCs w:val="22"/>
        </w:rPr>
      </w:pPr>
      <w:r>
        <w:rPr>
          <w:rFonts w:hint="eastAsia"/>
          <w:szCs w:val="22"/>
        </w:rPr>
        <w:t>为应对不断变化的需求和发展趋势，企业应审视现有的知识，确定如何获取或接触更多必要的知识和知识更新。</w:t>
      </w:r>
    </w:p>
    <w:p>
      <w:pPr>
        <w:pStyle w:val="51"/>
        <w:bidi w:val="0"/>
        <w:ind w:left="0" w:leftChars="0" w:firstLine="0" w:firstLineChars="0"/>
        <w:rPr>
          <w:rFonts w:hint="default"/>
          <w:lang w:val="en-US" w:eastAsia="zh-CN"/>
        </w:rPr>
      </w:pPr>
      <w:bookmarkStart w:id="93" w:name="_Toc12811"/>
      <w:bookmarkStart w:id="94" w:name="_Toc18971"/>
      <w:r>
        <w:rPr>
          <w:rFonts w:hint="eastAsia"/>
          <w:lang w:val="en-US" w:eastAsia="zh-CN"/>
        </w:rPr>
        <w:t>安全文化建设</w:t>
      </w:r>
      <w:bookmarkEnd w:id="92"/>
      <w:bookmarkEnd w:id="93"/>
      <w:bookmarkEnd w:id="94"/>
    </w:p>
    <w:p>
      <w:pPr>
        <w:pStyle w:val="21"/>
        <w:rPr>
          <w:rFonts w:hAnsi="宋体"/>
          <w:color w:val="000000"/>
        </w:rPr>
      </w:pPr>
      <w:r>
        <w:rPr>
          <w:rFonts w:hint="eastAsia" w:hAnsi="宋体"/>
          <w:color w:val="000000"/>
        </w:rPr>
        <w:t>企业宜制定安全文化建设的长期规划和阶段性计划，通过开展安全文化建设，为</w:t>
      </w:r>
      <w:r>
        <w:rPr>
          <w:rFonts w:hint="eastAsia"/>
          <w:szCs w:val="22"/>
        </w:rPr>
        <w:t>全体从业人员起到引导和指引方向的导向作用，从而</w:t>
      </w:r>
      <w:r>
        <w:rPr>
          <w:rFonts w:hint="eastAsia" w:hAnsi="宋体"/>
          <w:color w:val="000000"/>
        </w:rPr>
        <w:t>改进和加强企业的安全与风险综合管理</w:t>
      </w:r>
      <w:r>
        <w:rPr>
          <w:rFonts w:hint="eastAsia" w:hAnsi="宋体"/>
          <w:color w:val="000000"/>
          <w:lang w:val="en-US" w:eastAsia="zh-CN"/>
        </w:rPr>
        <w:t>体系</w:t>
      </w:r>
      <w:r>
        <w:rPr>
          <w:rFonts w:hint="eastAsia" w:hAnsi="宋体"/>
          <w:color w:val="000000"/>
        </w:rPr>
        <w:t>，促进安全生产工作。</w:t>
      </w:r>
    </w:p>
    <w:p>
      <w:pPr>
        <w:pStyle w:val="21"/>
        <w:rPr>
          <w:rFonts w:hAnsi="宋体"/>
          <w:color w:val="000000"/>
        </w:rPr>
      </w:pPr>
      <w:r>
        <w:rPr>
          <w:rFonts w:hint="eastAsia" w:hAnsi="宋体"/>
          <w:color w:val="000000"/>
        </w:rPr>
        <w:t>企业应采取多种形式的安全文化活动，引导全体从业人员的安全态度和安全行为，逐步形成为全体员工所认同、共同遵守、带有本企业特点的安全理念、价值观和安全行为准则，实现法律和政府监管要求之上的安全自我约束，保障企业安全生产水平持续提高。</w:t>
      </w:r>
    </w:p>
    <w:p>
      <w:pPr>
        <w:pStyle w:val="21"/>
        <w:rPr>
          <w:rFonts w:hAnsi="宋体"/>
          <w:color w:val="000000"/>
        </w:rPr>
      </w:pPr>
      <w:r>
        <w:rPr>
          <w:rFonts w:hint="eastAsia" w:hAnsi="宋体"/>
          <w:color w:val="000000"/>
        </w:rPr>
        <w:t>为起到安全文化的应有作用，企业可适当进行下列活动：</w:t>
      </w:r>
    </w:p>
    <w:p>
      <w:pPr>
        <w:pStyle w:val="21"/>
        <w:numPr>
          <w:ilvl w:val="0"/>
          <w:numId w:val="29"/>
        </w:numPr>
        <w:ind w:left="420" w:firstLine="0" w:firstLineChars="0"/>
        <w:rPr>
          <w:szCs w:val="22"/>
        </w:rPr>
      </w:pPr>
      <w:r>
        <w:rPr>
          <w:rFonts w:hint="eastAsia"/>
          <w:szCs w:val="22"/>
        </w:rPr>
        <w:t>通过</w:t>
      </w:r>
      <w:r>
        <w:rPr>
          <w:szCs w:val="22"/>
        </w:rPr>
        <w:t>营造安全文化氛围，使全体员工紧紧联系在一起，显示共同的安全目标、意识和追求</w:t>
      </w:r>
      <w:r>
        <w:rPr>
          <w:rFonts w:hint="eastAsia"/>
          <w:szCs w:val="22"/>
        </w:rPr>
        <w:t>，起到凝聚作用</w:t>
      </w:r>
      <w:r>
        <w:rPr>
          <w:szCs w:val="22"/>
        </w:rPr>
        <w:t>。</w:t>
      </w:r>
    </w:p>
    <w:p>
      <w:pPr>
        <w:pStyle w:val="21"/>
        <w:numPr>
          <w:ilvl w:val="0"/>
          <w:numId w:val="29"/>
        </w:numPr>
        <w:ind w:left="420" w:firstLine="0" w:firstLineChars="0"/>
        <w:rPr>
          <w:szCs w:val="22"/>
        </w:rPr>
      </w:pPr>
      <w:r>
        <w:rPr>
          <w:szCs w:val="22"/>
        </w:rPr>
        <w:t>通过表彰先进，树立安全标兵等多种方法，激发全体员工的安全生产积极性和主动性</w:t>
      </w:r>
      <w:r>
        <w:rPr>
          <w:rFonts w:hint="eastAsia"/>
          <w:szCs w:val="22"/>
        </w:rPr>
        <w:t>，起到激励作用</w:t>
      </w:r>
      <w:r>
        <w:rPr>
          <w:szCs w:val="22"/>
        </w:rPr>
        <w:t>。</w:t>
      </w:r>
    </w:p>
    <w:p>
      <w:pPr>
        <w:pStyle w:val="21"/>
        <w:numPr>
          <w:ilvl w:val="0"/>
          <w:numId w:val="29"/>
        </w:numPr>
        <w:ind w:left="420" w:firstLine="0" w:firstLineChars="0"/>
        <w:rPr>
          <w:rFonts w:hint="default"/>
          <w:szCs w:val="22"/>
          <w:lang w:val="en-US" w:eastAsia="zh-CN"/>
        </w:rPr>
      </w:pPr>
      <w:r>
        <w:rPr>
          <w:rFonts w:hint="eastAsia"/>
          <w:szCs w:val="22"/>
        </w:rPr>
        <w:t>开展安全文化评价，为安全文化建设改进提供机遇与方向。</w:t>
      </w:r>
    </w:p>
    <w:p>
      <w:pPr>
        <w:pStyle w:val="94"/>
        <w:rPr>
          <w:rFonts w:hint="eastAsia"/>
          <w:szCs w:val="22"/>
          <w:lang w:val="en-US" w:eastAsia="zh-CN"/>
        </w:rPr>
      </w:pPr>
      <w:bookmarkStart w:id="95" w:name="_Toc31596"/>
      <w:bookmarkStart w:id="96" w:name="_Toc20756"/>
      <w:bookmarkStart w:id="97" w:name="_Toc6188"/>
      <w:r>
        <w:rPr>
          <w:rFonts w:hint="eastAsia"/>
          <w:szCs w:val="22"/>
          <w:lang w:val="en-US" w:eastAsia="zh-CN"/>
        </w:rPr>
        <w:t>风险管理</w:t>
      </w:r>
      <w:bookmarkEnd w:id="95"/>
      <w:bookmarkEnd w:id="96"/>
      <w:bookmarkEnd w:id="97"/>
    </w:p>
    <w:p>
      <w:pPr>
        <w:pStyle w:val="51"/>
        <w:bidi w:val="0"/>
        <w:ind w:left="0" w:leftChars="0" w:firstLine="0" w:firstLineChars="0"/>
        <w:rPr>
          <w:rFonts w:hint="eastAsia"/>
          <w:highlight w:val="none"/>
          <w:lang w:val="en-US" w:eastAsia="zh-CN"/>
        </w:rPr>
      </w:pPr>
      <w:bookmarkStart w:id="98" w:name="_Toc22223"/>
      <w:bookmarkStart w:id="99" w:name="_Toc18969"/>
      <w:bookmarkStart w:id="100" w:name="_Toc15058"/>
      <w:r>
        <w:rPr>
          <w:rFonts w:hint="eastAsia"/>
          <w:highlight w:val="none"/>
          <w:lang w:val="en-US" w:eastAsia="zh-CN"/>
        </w:rPr>
        <w:t>因素辨识</w:t>
      </w:r>
      <w:bookmarkEnd w:id="98"/>
      <w:bookmarkEnd w:id="99"/>
      <w:bookmarkEnd w:id="100"/>
    </w:p>
    <w:p>
      <w:pPr>
        <w:pStyle w:val="51"/>
        <w:numPr>
          <w:ilvl w:val="1"/>
          <w:numId w:val="0"/>
        </w:numPr>
        <w:bidi w:val="0"/>
        <w:ind w:leftChars="0"/>
        <w:rPr>
          <w:rFonts w:hint="default"/>
          <w:highlight w:val="none"/>
          <w:lang w:val="en-US" w:eastAsia="zh-CN"/>
        </w:rPr>
      </w:pPr>
      <w:bookmarkStart w:id="101" w:name="_Toc28011"/>
      <w:bookmarkStart w:id="102" w:name="_Toc19845"/>
      <w:r>
        <w:rPr>
          <w:rFonts w:hint="eastAsia"/>
          <w:highlight w:val="none"/>
          <w:lang w:val="en-US" w:eastAsia="zh-CN"/>
        </w:rPr>
        <w:t>5.1.1策划</w:t>
      </w:r>
      <w:bookmarkEnd w:id="101"/>
      <w:bookmarkEnd w:id="102"/>
    </w:p>
    <w:p>
      <w:pPr>
        <w:pStyle w:val="21"/>
        <w:rPr>
          <w:rFonts w:hint="eastAsia"/>
          <w:highlight w:val="none"/>
          <w:lang w:val="en-US" w:eastAsia="zh-CN"/>
        </w:rPr>
      </w:pPr>
      <w:r>
        <w:rPr>
          <w:rFonts w:hint="eastAsia"/>
          <w:highlight w:val="none"/>
          <w:lang w:val="en-US" w:eastAsia="zh-CN"/>
        </w:rPr>
        <w:t>企业应建立、实施和保持用于常态的、持续的和主动的危害因素辨识的过程，并涵盖所有工作场所及生产活动过程。</w:t>
      </w:r>
    </w:p>
    <w:p>
      <w:pPr>
        <w:pStyle w:val="21"/>
        <w:rPr>
          <w:rFonts w:hint="eastAsia"/>
          <w:highlight w:val="none"/>
          <w:lang w:val="en-US" w:eastAsia="zh-CN"/>
        </w:rPr>
      </w:pPr>
      <w:r>
        <w:rPr>
          <w:rFonts w:hint="eastAsia"/>
          <w:highlight w:val="none"/>
          <w:lang w:val="en-US" w:eastAsia="zh-CN"/>
        </w:rPr>
        <w:t>企业应：</w:t>
      </w:r>
    </w:p>
    <w:p>
      <w:pPr>
        <w:pStyle w:val="21"/>
        <w:numPr>
          <w:ilvl w:val="0"/>
          <w:numId w:val="30"/>
        </w:numPr>
        <w:ind w:left="420" w:leftChars="0" w:firstLine="0" w:firstLineChars="0"/>
        <w:rPr>
          <w:rFonts w:hint="eastAsia"/>
          <w:szCs w:val="22"/>
          <w:highlight w:val="none"/>
          <w:lang w:val="en-US" w:eastAsia="zh-CN"/>
        </w:rPr>
      </w:pPr>
      <w:r>
        <w:rPr>
          <w:rFonts w:hint="eastAsia"/>
          <w:szCs w:val="22"/>
          <w:highlight w:val="none"/>
          <w:lang w:val="en-US" w:eastAsia="zh-CN"/>
        </w:rPr>
        <w:t>确定与企业的生产活动相适合的危害因素辨识方法；</w:t>
      </w:r>
    </w:p>
    <w:p>
      <w:pPr>
        <w:pStyle w:val="21"/>
        <w:numPr>
          <w:ilvl w:val="0"/>
          <w:numId w:val="30"/>
        </w:numPr>
        <w:ind w:left="420" w:leftChars="0" w:firstLine="0" w:firstLineChars="0"/>
        <w:rPr>
          <w:rFonts w:hint="eastAsia"/>
          <w:szCs w:val="22"/>
          <w:highlight w:val="none"/>
          <w:lang w:val="en-US" w:eastAsia="zh-CN"/>
        </w:rPr>
      </w:pPr>
      <w:r>
        <w:rPr>
          <w:rFonts w:hint="eastAsia"/>
          <w:szCs w:val="22"/>
          <w:highlight w:val="none"/>
          <w:lang w:val="en-US" w:eastAsia="zh-CN"/>
        </w:rPr>
        <w:t>按照策划的时间间隔开展常态危害因素辨识；</w:t>
      </w:r>
    </w:p>
    <w:p>
      <w:pPr>
        <w:pStyle w:val="21"/>
        <w:numPr>
          <w:ilvl w:val="0"/>
          <w:numId w:val="30"/>
        </w:numPr>
        <w:ind w:left="420" w:leftChars="0" w:firstLine="0" w:firstLineChars="0"/>
        <w:rPr>
          <w:rFonts w:hint="eastAsia"/>
          <w:szCs w:val="22"/>
          <w:highlight w:val="none"/>
          <w:lang w:val="en-US" w:eastAsia="zh-CN"/>
        </w:rPr>
      </w:pPr>
      <w:r>
        <w:rPr>
          <w:rFonts w:hint="eastAsia"/>
          <w:szCs w:val="22"/>
          <w:highlight w:val="none"/>
          <w:lang w:val="en-US" w:eastAsia="zh-CN"/>
        </w:rPr>
        <w:t>实施过程中实现持续的和主动的危害因素辨识。</w:t>
      </w:r>
    </w:p>
    <w:p>
      <w:pPr>
        <w:pStyle w:val="21"/>
        <w:numPr>
          <w:ilvl w:val="0"/>
          <w:numId w:val="0"/>
        </w:numPr>
        <w:ind w:left="420" w:leftChars="0"/>
        <w:rPr>
          <w:rFonts w:hint="default"/>
          <w:szCs w:val="22"/>
          <w:highlight w:val="none"/>
          <w:lang w:val="en-US" w:eastAsia="zh-CN"/>
        </w:rPr>
      </w:pPr>
      <w:r>
        <w:rPr>
          <w:rFonts w:hint="eastAsia"/>
          <w:highlight w:val="none"/>
          <w:lang w:val="en-US" w:eastAsia="zh-CN"/>
        </w:rPr>
        <w:t>有关方法和准则的成文信息应予以保持和保留。</w:t>
      </w:r>
    </w:p>
    <w:p>
      <w:pPr>
        <w:pStyle w:val="51"/>
        <w:numPr>
          <w:ilvl w:val="1"/>
          <w:numId w:val="0"/>
        </w:numPr>
        <w:bidi w:val="0"/>
        <w:ind w:leftChars="0"/>
        <w:rPr>
          <w:rFonts w:hint="eastAsia"/>
          <w:highlight w:val="none"/>
          <w:lang w:val="en-US" w:eastAsia="zh-CN"/>
        </w:rPr>
      </w:pPr>
      <w:bookmarkStart w:id="103" w:name="_Toc28616"/>
      <w:bookmarkStart w:id="104" w:name="_Toc113"/>
      <w:r>
        <w:rPr>
          <w:rFonts w:hint="eastAsia"/>
          <w:highlight w:val="none"/>
          <w:lang w:val="en-US" w:eastAsia="zh-CN"/>
        </w:rPr>
        <w:t>5.1.2辨识</w:t>
      </w:r>
      <w:bookmarkEnd w:id="103"/>
      <w:bookmarkEnd w:id="104"/>
    </w:p>
    <w:p>
      <w:pPr>
        <w:pStyle w:val="21"/>
        <w:rPr>
          <w:rFonts w:hint="eastAsia"/>
          <w:szCs w:val="22"/>
          <w:lang w:val="en-US" w:eastAsia="zh-CN"/>
        </w:rPr>
      </w:pPr>
      <w:r>
        <w:rPr>
          <w:rFonts w:hint="eastAsia"/>
          <w:szCs w:val="22"/>
          <w:lang w:val="en-US" w:eastAsia="zh-CN"/>
        </w:rPr>
        <w:t>企业组织开展风险辨识因素应考虑（但不限于）以下方面：</w:t>
      </w:r>
    </w:p>
    <w:p>
      <w:pPr>
        <w:pStyle w:val="21"/>
        <w:numPr>
          <w:ilvl w:val="0"/>
          <w:numId w:val="31"/>
        </w:numPr>
        <w:ind w:left="420" w:leftChars="0" w:firstLine="0" w:firstLineChars="0"/>
        <w:rPr>
          <w:rFonts w:hint="default"/>
          <w:szCs w:val="22"/>
          <w:lang w:val="en-US" w:eastAsia="zh-CN"/>
        </w:rPr>
      </w:pPr>
      <w:r>
        <w:rPr>
          <w:rFonts w:hint="eastAsia"/>
          <w:szCs w:val="22"/>
          <w:lang w:val="en-US" w:eastAsia="zh-CN"/>
        </w:rPr>
        <w:t>常规和非常规的活动和状况，包括正常、异常、潜在的紧急情况；</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1）基础设施、设备、原料、材料和工作场所的物理环境；</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2）产品全生命周期相关活动，包括产品和服务的设计、研究、开发、测试、生产、装配、施工、交付、维护或处置；</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3）人的因素。</w:t>
      </w:r>
    </w:p>
    <w:p>
      <w:pPr>
        <w:pStyle w:val="21"/>
        <w:numPr>
          <w:ilvl w:val="0"/>
          <w:numId w:val="31"/>
        </w:numPr>
        <w:ind w:left="420" w:leftChars="0" w:firstLine="0" w:firstLineChars="0"/>
        <w:rPr>
          <w:rFonts w:hint="eastAsia"/>
          <w:szCs w:val="22"/>
          <w:lang w:val="en-US" w:eastAsia="zh-CN"/>
        </w:rPr>
      </w:pPr>
      <w:r>
        <w:rPr>
          <w:rFonts w:hint="eastAsia"/>
          <w:szCs w:val="22"/>
          <w:lang w:val="en-US" w:eastAsia="zh-CN"/>
        </w:rPr>
        <w:t>社会因素，包括</w:t>
      </w:r>
      <w:r>
        <w:rPr>
          <w:rFonts w:hint="eastAsia"/>
          <w:lang w:val="en-US" w:eastAsia="zh-CN"/>
        </w:rPr>
        <w:t>工作负荷、工作时间、欺骗、骚扰和欺压</w:t>
      </w:r>
      <w:r>
        <w:rPr>
          <w:rFonts w:hint="eastAsia"/>
          <w:szCs w:val="22"/>
          <w:lang w:val="en-US" w:eastAsia="zh-CN"/>
        </w:rPr>
        <w:t>；</w:t>
      </w:r>
    </w:p>
    <w:p>
      <w:pPr>
        <w:pStyle w:val="21"/>
        <w:numPr>
          <w:ilvl w:val="0"/>
          <w:numId w:val="31"/>
        </w:numPr>
        <w:ind w:left="420" w:leftChars="0" w:firstLine="0" w:firstLineChars="0"/>
        <w:rPr>
          <w:rFonts w:hint="eastAsia"/>
          <w:szCs w:val="22"/>
          <w:lang w:val="en-US" w:eastAsia="zh-CN"/>
        </w:rPr>
      </w:pPr>
      <w:r>
        <w:rPr>
          <w:rFonts w:hint="eastAsia"/>
          <w:szCs w:val="22"/>
          <w:lang w:val="en-US" w:eastAsia="zh-CN"/>
        </w:rPr>
        <w:t>相关方，包括：</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1）进入工作场所的人员及其活动，包括工作人员、承包方、访问者和其他人员；</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2）处于工作场所附近可能受企业活动影响的人员；</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3）处于不受企业直接控制的场所的工作人员。</w:t>
      </w:r>
    </w:p>
    <w:p>
      <w:pPr>
        <w:pStyle w:val="21"/>
        <w:numPr>
          <w:ilvl w:val="0"/>
          <w:numId w:val="31"/>
        </w:numPr>
        <w:ind w:left="420" w:leftChars="0" w:firstLine="0" w:firstLineChars="0"/>
        <w:rPr>
          <w:rFonts w:hint="eastAsia"/>
          <w:szCs w:val="22"/>
          <w:lang w:val="en-US" w:eastAsia="zh-CN"/>
        </w:rPr>
      </w:pPr>
      <w:r>
        <w:rPr>
          <w:rFonts w:hint="eastAsia"/>
          <w:lang w:val="en-US" w:eastAsia="zh-CN"/>
        </w:rPr>
        <w:t>内部或外部以往发生的相关事件（包括紧急情况）及其原因；</w:t>
      </w:r>
    </w:p>
    <w:p>
      <w:pPr>
        <w:pStyle w:val="21"/>
        <w:numPr>
          <w:ilvl w:val="0"/>
          <w:numId w:val="31"/>
        </w:numPr>
        <w:ind w:left="420" w:leftChars="0" w:firstLine="0" w:firstLineChars="0"/>
        <w:rPr>
          <w:rFonts w:hint="eastAsia"/>
          <w:szCs w:val="22"/>
          <w:lang w:val="en-US" w:eastAsia="zh-CN"/>
        </w:rPr>
      </w:pPr>
      <w:r>
        <w:rPr>
          <w:rFonts w:hint="eastAsia"/>
          <w:szCs w:val="22"/>
          <w:lang w:val="en-US" w:eastAsia="zh-CN"/>
        </w:rPr>
        <w:t>其他因素，包括：</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1）企业在运行、过程、活动中实际或拟定的变更；</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2）发生在工作场所附近，可能对工作场所人员造成伤害、损害的状况。</w:t>
      </w:r>
    </w:p>
    <w:p>
      <w:pPr>
        <w:pStyle w:val="21"/>
        <w:numPr>
          <w:ilvl w:val="0"/>
          <w:numId w:val="0"/>
        </w:numPr>
        <w:ind w:left="420" w:leftChars="0"/>
        <w:rPr>
          <w:rFonts w:hint="default"/>
          <w:szCs w:val="22"/>
          <w:lang w:val="en-US" w:eastAsia="zh-CN"/>
        </w:rPr>
      </w:pPr>
      <w:r>
        <w:rPr>
          <w:rFonts w:hint="eastAsia"/>
          <w:szCs w:val="22"/>
          <w:lang w:val="en-US" w:eastAsia="zh-CN"/>
        </w:rPr>
        <w:t>危害因素辨识的结果应作为成文信息予以保持和保留。</w:t>
      </w:r>
    </w:p>
    <w:p>
      <w:pPr>
        <w:pStyle w:val="51"/>
        <w:bidi w:val="0"/>
        <w:ind w:left="0" w:leftChars="0" w:firstLine="0" w:firstLineChars="0"/>
        <w:rPr>
          <w:rFonts w:hint="eastAsia"/>
          <w:lang w:val="en-US" w:eastAsia="zh-CN"/>
        </w:rPr>
      </w:pPr>
      <w:bookmarkStart w:id="105" w:name="_Toc7528"/>
      <w:bookmarkStart w:id="106" w:name="_Toc27610"/>
      <w:bookmarkStart w:id="107" w:name="_Toc19828"/>
      <w:r>
        <w:rPr>
          <w:rFonts w:hint="eastAsia"/>
          <w:lang w:val="en-US" w:eastAsia="zh-CN"/>
        </w:rPr>
        <w:t>风险评价</w:t>
      </w:r>
      <w:bookmarkEnd w:id="105"/>
      <w:bookmarkEnd w:id="106"/>
      <w:bookmarkEnd w:id="107"/>
    </w:p>
    <w:p>
      <w:pPr>
        <w:pStyle w:val="21"/>
        <w:rPr>
          <w:rFonts w:hint="eastAsia"/>
          <w:szCs w:val="22"/>
          <w:lang w:val="en-US" w:eastAsia="zh-CN"/>
        </w:rPr>
      </w:pPr>
      <w:r>
        <w:rPr>
          <w:rFonts w:hint="eastAsia"/>
          <w:lang w:val="en-US" w:eastAsia="zh-CN"/>
        </w:rPr>
        <w:t>企业应建立、实施和保持过程</w:t>
      </w:r>
      <w:r>
        <w:rPr>
          <w:rFonts w:hint="eastAsia"/>
          <w:color w:val="auto"/>
          <w:lang w:val="en-US" w:eastAsia="zh-CN"/>
        </w:rPr>
        <w:t>，</w:t>
      </w:r>
      <w:r>
        <w:rPr>
          <w:rFonts w:hint="eastAsia"/>
          <w:color w:val="auto"/>
        </w:rPr>
        <w:t>选择合适的风险评价方法，</w:t>
      </w:r>
      <w:r>
        <w:rPr>
          <w:rFonts w:hint="eastAsia"/>
          <w:color w:val="auto"/>
          <w:lang w:val="en-US" w:eastAsia="zh-CN"/>
        </w:rPr>
        <w:t>以</w:t>
      </w:r>
      <w:r>
        <w:rPr>
          <w:rFonts w:hint="eastAsia"/>
          <w:color w:val="auto"/>
          <w:szCs w:val="22"/>
          <w:lang w:val="en-US" w:eastAsia="zh-CN"/>
        </w:rPr>
        <w:t>评</w:t>
      </w:r>
      <w:r>
        <w:rPr>
          <w:rFonts w:hint="eastAsia"/>
          <w:szCs w:val="22"/>
          <w:lang w:val="en-US" w:eastAsia="zh-CN"/>
        </w:rPr>
        <w:t>价来自已辨识的危害因素，同时必须考虑现有控制措施的有效性，并确定和评价相关的其他风险。</w:t>
      </w:r>
    </w:p>
    <w:p>
      <w:pPr>
        <w:pStyle w:val="21"/>
        <w:rPr>
          <w:rFonts w:hint="eastAsia"/>
          <w:lang w:val="en-US" w:eastAsia="zh-CN"/>
        </w:rPr>
      </w:pPr>
      <w:r>
        <w:rPr>
          <w:rFonts w:hint="eastAsia"/>
          <w:lang w:val="en-US" w:eastAsia="zh-CN"/>
        </w:rPr>
        <w:t>风险评价的步骤可包括：</w:t>
      </w:r>
    </w:p>
    <w:p>
      <w:pPr>
        <w:pStyle w:val="21"/>
        <w:numPr>
          <w:ilvl w:val="0"/>
          <w:numId w:val="0"/>
        </w:numPr>
        <w:ind w:left="420" w:leftChars="0"/>
        <w:rPr>
          <w:rFonts w:hint="eastAsia"/>
          <w:szCs w:val="22"/>
          <w:lang w:val="en-US" w:eastAsia="zh-CN"/>
        </w:rPr>
      </w:pPr>
      <w:r>
        <w:rPr>
          <w:rFonts w:hint="eastAsia"/>
          <w:szCs w:val="22"/>
          <w:lang w:val="en-US" w:eastAsia="zh-CN"/>
        </w:rPr>
        <w:t>a）确定风险范畴和细分风险种类；</w:t>
      </w:r>
    </w:p>
    <w:p>
      <w:pPr>
        <w:pStyle w:val="21"/>
        <w:numPr>
          <w:ilvl w:val="0"/>
          <w:numId w:val="0"/>
        </w:numPr>
        <w:ind w:left="420" w:leftChars="0"/>
        <w:rPr>
          <w:rFonts w:hint="eastAsia"/>
          <w:szCs w:val="22"/>
          <w:lang w:val="en-US" w:eastAsia="zh-CN"/>
        </w:rPr>
      </w:pPr>
      <w:r>
        <w:rPr>
          <w:rFonts w:hint="eastAsia"/>
          <w:szCs w:val="22"/>
          <w:lang w:val="en-US" w:eastAsia="zh-CN"/>
        </w:rPr>
        <w:t>b）查找可能暴露于风险的人员、设备及其他信息；</w:t>
      </w:r>
    </w:p>
    <w:p>
      <w:pPr>
        <w:pStyle w:val="21"/>
        <w:numPr>
          <w:ilvl w:val="0"/>
          <w:numId w:val="0"/>
        </w:numPr>
        <w:ind w:left="420" w:leftChars="0"/>
        <w:rPr>
          <w:rFonts w:hint="eastAsia"/>
          <w:szCs w:val="22"/>
          <w:lang w:val="en-US" w:eastAsia="zh-CN"/>
        </w:rPr>
      </w:pPr>
      <w:r>
        <w:rPr>
          <w:rFonts w:hint="eastAsia"/>
          <w:szCs w:val="22"/>
          <w:lang w:val="en-US" w:eastAsia="zh-CN"/>
        </w:rPr>
        <w:t>c）识别控制风险的现有措施，包括现有的管理措施和现场执行的防范措施；</w:t>
      </w:r>
    </w:p>
    <w:p>
      <w:pPr>
        <w:pStyle w:val="21"/>
        <w:numPr>
          <w:ilvl w:val="0"/>
          <w:numId w:val="0"/>
        </w:numPr>
        <w:ind w:left="420" w:leftChars="0"/>
        <w:rPr>
          <w:rFonts w:hint="eastAsia"/>
          <w:szCs w:val="22"/>
          <w:lang w:val="en-US" w:eastAsia="zh-CN"/>
        </w:rPr>
      </w:pPr>
      <w:r>
        <w:rPr>
          <w:rFonts w:hint="eastAsia"/>
          <w:szCs w:val="22"/>
          <w:lang w:val="en-US" w:eastAsia="zh-CN"/>
        </w:rPr>
        <w:t>d）分析危害转化为风险的可能性和后果的严重性；</w:t>
      </w:r>
    </w:p>
    <w:p>
      <w:pPr>
        <w:pStyle w:val="21"/>
        <w:numPr>
          <w:ilvl w:val="0"/>
          <w:numId w:val="0"/>
        </w:numPr>
        <w:ind w:left="420" w:leftChars="0"/>
        <w:rPr>
          <w:rFonts w:hint="eastAsia"/>
          <w:szCs w:val="22"/>
          <w:lang w:val="en-US" w:eastAsia="zh-CN"/>
        </w:rPr>
      </w:pPr>
      <w:r>
        <w:rPr>
          <w:rFonts w:hint="eastAsia"/>
          <w:szCs w:val="22"/>
          <w:lang w:val="en-US" w:eastAsia="zh-CN"/>
        </w:rPr>
        <w:t>e）量化风险结果并划分风险等级。</w:t>
      </w:r>
    </w:p>
    <w:p>
      <w:pPr>
        <w:pStyle w:val="21"/>
        <w:numPr>
          <w:ilvl w:val="0"/>
          <w:numId w:val="0"/>
        </w:numPr>
        <w:ind w:left="420" w:leftChars="0"/>
        <w:rPr>
          <w:rFonts w:hint="default"/>
          <w:szCs w:val="22"/>
          <w:lang w:val="en-US" w:eastAsia="zh-CN"/>
        </w:rPr>
      </w:pPr>
      <w:r>
        <w:rPr>
          <w:rFonts w:hint="eastAsia"/>
          <w:szCs w:val="22"/>
          <w:lang w:val="en-US" w:eastAsia="zh-CN"/>
        </w:rPr>
        <w:t>风险评价的结果应作为成文信息予以保持和保留。</w:t>
      </w:r>
    </w:p>
    <w:p>
      <w:pPr>
        <w:pStyle w:val="51"/>
        <w:bidi w:val="0"/>
        <w:ind w:left="0" w:leftChars="0" w:firstLine="0" w:firstLineChars="0"/>
        <w:rPr>
          <w:rFonts w:hint="eastAsia"/>
          <w:lang w:val="en-US" w:eastAsia="zh-CN"/>
        </w:rPr>
      </w:pPr>
      <w:bookmarkStart w:id="108" w:name="_Toc18769"/>
      <w:bookmarkStart w:id="109" w:name="_Toc29769"/>
      <w:r>
        <w:rPr>
          <w:rFonts w:hint="eastAsia"/>
          <w:lang w:val="en-US" w:eastAsia="zh-CN"/>
        </w:rPr>
        <w:t>风险控制</w:t>
      </w:r>
      <w:bookmarkEnd w:id="108"/>
      <w:bookmarkEnd w:id="109"/>
    </w:p>
    <w:p>
      <w:pPr>
        <w:pStyle w:val="51"/>
        <w:numPr>
          <w:ilvl w:val="1"/>
          <w:numId w:val="0"/>
        </w:numPr>
        <w:bidi w:val="0"/>
        <w:ind w:leftChars="0"/>
        <w:rPr>
          <w:rFonts w:hint="default"/>
          <w:lang w:val="en-US" w:eastAsia="zh-CN"/>
        </w:rPr>
      </w:pPr>
      <w:bookmarkStart w:id="110" w:name="_Toc22687"/>
      <w:bookmarkStart w:id="111" w:name="_Toc28269"/>
      <w:bookmarkStart w:id="112" w:name="_Toc27378"/>
      <w:r>
        <w:rPr>
          <w:rFonts w:hint="eastAsia"/>
          <w:lang w:val="en-US" w:eastAsia="zh-CN"/>
        </w:rPr>
        <w:t>5.3.1策划</w:t>
      </w:r>
      <w:bookmarkEnd w:id="110"/>
      <w:bookmarkEnd w:id="111"/>
      <w:bookmarkEnd w:id="112"/>
    </w:p>
    <w:p>
      <w:pPr>
        <w:pStyle w:val="21"/>
        <w:rPr>
          <w:rFonts w:hint="eastAsia"/>
          <w:szCs w:val="22"/>
          <w:lang w:val="en-US" w:eastAsia="zh-CN"/>
        </w:rPr>
      </w:pPr>
      <w:r>
        <w:rPr>
          <w:rFonts w:hint="eastAsia"/>
          <w:lang w:val="en-US" w:eastAsia="zh-CN"/>
        </w:rPr>
        <w:t>企业应策划风险评估的措施并有效实施，以应对风险和机遇，满足合规义务，并对</w:t>
      </w:r>
      <w:r>
        <w:rPr>
          <w:rFonts w:hint="eastAsia"/>
          <w:szCs w:val="22"/>
          <w:lang w:val="en-US" w:eastAsia="zh-CN"/>
        </w:rPr>
        <w:t>紧急情况做出准备和响应。</w:t>
      </w:r>
    </w:p>
    <w:p>
      <w:pPr>
        <w:pStyle w:val="21"/>
        <w:rPr>
          <w:rFonts w:hint="default"/>
          <w:szCs w:val="22"/>
          <w:lang w:val="en-US" w:eastAsia="zh-CN"/>
        </w:rPr>
      </w:pPr>
      <w:r>
        <w:rPr>
          <w:rFonts w:hint="eastAsia"/>
          <w:szCs w:val="22"/>
          <w:lang w:val="en-US" w:eastAsia="zh-CN"/>
        </w:rPr>
        <w:t>企业在策划措施时，应考虑（包括但不限于）：</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在安全与风险综合管理体系过程中或其他业务过程中融入并实施这些措施；</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控制的层级和安全与风险综合管理体系的输出相对应；</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最佳实践、可选技术方案以及财务、运行和经营等要求；</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如何评价这些措施的有效性。</w:t>
      </w:r>
    </w:p>
    <w:p>
      <w:pPr>
        <w:pStyle w:val="51"/>
        <w:numPr>
          <w:ilvl w:val="1"/>
          <w:numId w:val="0"/>
        </w:numPr>
        <w:bidi w:val="0"/>
        <w:ind w:leftChars="0"/>
        <w:rPr>
          <w:rFonts w:hint="default"/>
          <w:lang w:val="en-US" w:eastAsia="zh-CN"/>
        </w:rPr>
      </w:pPr>
      <w:bookmarkStart w:id="113" w:name="_Toc22986"/>
      <w:bookmarkStart w:id="114" w:name="_Toc13358"/>
      <w:bookmarkStart w:id="115" w:name="_Toc28417"/>
      <w:r>
        <w:rPr>
          <w:rFonts w:hint="eastAsia"/>
          <w:lang w:val="en-US" w:eastAsia="zh-CN"/>
        </w:rPr>
        <w:t>5.3.2控制</w:t>
      </w:r>
      <w:bookmarkEnd w:id="113"/>
      <w:bookmarkEnd w:id="114"/>
      <w:bookmarkEnd w:id="115"/>
    </w:p>
    <w:p>
      <w:pPr>
        <w:pStyle w:val="21"/>
        <w:numPr>
          <w:ilvl w:val="0"/>
          <w:numId w:val="0"/>
        </w:numPr>
        <w:ind w:firstLine="420"/>
        <w:rPr>
          <w:rFonts w:hint="eastAsia"/>
          <w:szCs w:val="22"/>
          <w:lang w:val="en-US" w:eastAsia="zh-CN"/>
        </w:rPr>
      </w:pPr>
      <w:r>
        <w:rPr>
          <w:rFonts w:hint="eastAsia"/>
          <w:szCs w:val="22"/>
          <w:lang w:val="en-US" w:eastAsia="zh-CN"/>
        </w:rPr>
        <w:t>企业应遵循下列顺序选择风险控制方法：</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消除/终止；</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替代；</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转移；</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工程；</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隔离；</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行政管理；</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个人防护。</w:t>
      </w:r>
    </w:p>
    <w:p>
      <w:pPr>
        <w:pStyle w:val="21"/>
        <w:numPr>
          <w:ilvl w:val="0"/>
          <w:numId w:val="0"/>
        </w:numPr>
        <w:ind w:firstLine="420"/>
        <w:rPr>
          <w:rFonts w:hint="eastAsia"/>
          <w:szCs w:val="22"/>
          <w:lang w:val="en-US" w:eastAsia="zh-CN"/>
        </w:rPr>
      </w:pPr>
      <w:r>
        <w:rPr>
          <w:rFonts w:hint="eastAsia"/>
          <w:szCs w:val="22"/>
          <w:lang w:val="en-US" w:eastAsia="zh-CN"/>
        </w:rPr>
        <w:t>企业在制定风险控制措施时应考虑：</w:t>
      </w:r>
    </w:p>
    <w:p>
      <w:pPr>
        <w:pStyle w:val="21"/>
        <w:numPr>
          <w:ilvl w:val="0"/>
          <w:numId w:val="0"/>
        </w:numPr>
        <w:ind w:firstLine="420"/>
        <w:rPr>
          <w:rFonts w:hint="eastAsia"/>
          <w:szCs w:val="22"/>
          <w:lang w:val="en-US" w:eastAsia="zh-CN"/>
        </w:rPr>
      </w:pPr>
      <w:r>
        <w:rPr>
          <w:rFonts w:hint="eastAsia"/>
          <w:szCs w:val="22"/>
          <w:lang w:val="en-US" w:eastAsia="zh-CN"/>
        </w:rPr>
        <w:t>——针对性与可行性；</w:t>
      </w:r>
    </w:p>
    <w:p>
      <w:pPr>
        <w:pStyle w:val="21"/>
        <w:numPr>
          <w:ilvl w:val="0"/>
          <w:numId w:val="0"/>
        </w:numPr>
        <w:ind w:firstLine="420"/>
        <w:rPr>
          <w:rFonts w:hint="eastAsia"/>
          <w:szCs w:val="22"/>
          <w:lang w:val="en-US" w:eastAsia="zh-CN"/>
        </w:rPr>
      </w:pPr>
      <w:r>
        <w:rPr>
          <w:rFonts w:hint="eastAsia"/>
          <w:szCs w:val="22"/>
          <w:lang w:val="en-US" w:eastAsia="zh-CN"/>
        </w:rPr>
        <w:t>——可操作性；</w:t>
      </w:r>
    </w:p>
    <w:p>
      <w:pPr>
        <w:pStyle w:val="21"/>
        <w:numPr>
          <w:ilvl w:val="0"/>
          <w:numId w:val="0"/>
        </w:numPr>
        <w:ind w:firstLine="420"/>
        <w:rPr>
          <w:rFonts w:hint="eastAsia"/>
          <w:szCs w:val="22"/>
          <w:lang w:val="en-US" w:eastAsia="zh-CN"/>
        </w:rPr>
      </w:pPr>
      <w:r>
        <w:rPr>
          <w:rFonts w:hint="eastAsia"/>
          <w:szCs w:val="22"/>
          <w:lang w:val="en-US" w:eastAsia="zh-CN"/>
        </w:rPr>
        <w:t>——有效性；</w:t>
      </w:r>
    </w:p>
    <w:p>
      <w:pPr>
        <w:pStyle w:val="21"/>
        <w:numPr>
          <w:ilvl w:val="0"/>
          <w:numId w:val="0"/>
        </w:numPr>
        <w:ind w:firstLine="420"/>
        <w:rPr>
          <w:rFonts w:hint="eastAsia"/>
          <w:szCs w:val="22"/>
          <w:lang w:val="en-US" w:eastAsia="zh-CN"/>
        </w:rPr>
      </w:pPr>
      <w:r>
        <w:rPr>
          <w:rFonts w:hint="eastAsia"/>
          <w:szCs w:val="22"/>
          <w:lang w:val="en-US" w:eastAsia="zh-CN"/>
        </w:rPr>
        <w:t>——经济性；</w:t>
      </w:r>
    </w:p>
    <w:p>
      <w:pPr>
        <w:pStyle w:val="21"/>
        <w:numPr>
          <w:ilvl w:val="0"/>
          <w:numId w:val="0"/>
        </w:numPr>
        <w:ind w:firstLine="420"/>
        <w:rPr>
          <w:rFonts w:hint="eastAsia"/>
          <w:szCs w:val="22"/>
          <w:lang w:val="en-US" w:eastAsia="zh-CN"/>
        </w:rPr>
      </w:pPr>
      <w:r>
        <w:rPr>
          <w:rFonts w:hint="eastAsia"/>
          <w:szCs w:val="22"/>
          <w:lang w:val="en-US" w:eastAsia="zh-CN"/>
        </w:rPr>
        <w:t>——资源保障；</w:t>
      </w:r>
    </w:p>
    <w:p>
      <w:pPr>
        <w:pStyle w:val="21"/>
        <w:numPr>
          <w:ilvl w:val="0"/>
          <w:numId w:val="0"/>
        </w:numPr>
        <w:ind w:firstLine="420"/>
        <w:rPr>
          <w:rFonts w:hint="eastAsia"/>
          <w:szCs w:val="22"/>
          <w:lang w:val="en-US" w:eastAsia="zh-CN"/>
        </w:rPr>
      </w:pPr>
      <w:r>
        <w:rPr>
          <w:rFonts w:hint="eastAsia"/>
          <w:szCs w:val="22"/>
          <w:lang w:val="en-US" w:eastAsia="zh-CN"/>
        </w:rPr>
        <w:t>——控制措施可能带来的新风险。</w:t>
      </w:r>
    </w:p>
    <w:p>
      <w:pPr>
        <w:pStyle w:val="21"/>
        <w:numPr>
          <w:ilvl w:val="0"/>
          <w:numId w:val="0"/>
        </w:numPr>
        <w:ind w:firstLine="420"/>
        <w:rPr>
          <w:rFonts w:hint="eastAsia"/>
          <w:szCs w:val="22"/>
          <w:lang w:val="en-US" w:eastAsia="zh-CN"/>
        </w:rPr>
      </w:pPr>
      <w:r>
        <w:rPr>
          <w:rFonts w:hint="eastAsia"/>
          <w:szCs w:val="22"/>
          <w:lang w:val="en-US" w:eastAsia="zh-CN"/>
        </w:rPr>
        <w:t>重大的风险问题及其控制措施建议应及时提交审议。</w:t>
      </w:r>
    </w:p>
    <w:p>
      <w:pPr>
        <w:pStyle w:val="21"/>
        <w:numPr>
          <w:ilvl w:val="0"/>
          <w:numId w:val="0"/>
        </w:numPr>
        <w:ind w:firstLine="420"/>
        <w:rPr>
          <w:rFonts w:hint="eastAsia"/>
          <w:szCs w:val="22"/>
          <w:lang w:val="en-US" w:eastAsia="zh-CN"/>
        </w:rPr>
      </w:pPr>
      <w:r>
        <w:rPr>
          <w:rFonts w:hint="eastAsia"/>
          <w:szCs w:val="22"/>
          <w:lang w:val="en-US" w:eastAsia="zh-CN"/>
        </w:rPr>
        <w:t>企业应鼓励开展以降低安全生产风险为目的的关键性技术及难题的研究。</w:t>
      </w:r>
    </w:p>
    <w:p>
      <w:pPr>
        <w:pStyle w:val="21"/>
        <w:numPr>
          <w:ilvl w:val="0"/>
          <w:numId w:val="0"/>
        </w:numPr>
        <w:ind w:firstLine="420"/>
        <w:rPr>
          <w:rFonts w:hint="eastAsia"/>
          <w:szCs w:val="22"/>
          <w:lang w:val="en-US" w:eastAsia="zh-CN"/>
        </w:rPr>
      </w:pPr>
      <w:r>
        <w:rPr>
          <w:rFonts w:hint="eastAsia"/>
          <w:szCs w:val="22"/>
          <w:lang w:val="en-US" w:eastAsia="zh-CN"/>
        </w:rPr>
        <w:t>安全科技成果（包括新产品、新技术、新工艺、新材料、新设计、新设备等）应用前应进行风险评估与分析，并制定必要的风险控制措施。</w:t>
      </w:r>
    </w:p>
    <w:p>
      <w:pPr>
        <w:pStyle w:val="21"/>
        <w:numPr>
          <w:ilvl w:val="0"/>
          <w:numId w:val="0"/>
        </w:numPr>
        <w:ind w:left="420" w:leftChars="0"/>
        <w:rPr>
          <w:rFonts w:hint="default"/>
          <w:szCs w:val="22"/>
          <w:lang w:val="en-US" w:eastAsia="zh-CN"/>
        </w:rPr>
      </w:pPr>
      <w:r>
        <w:rPr>
          <w:rFonts w:hint="eastAsia"/>
          <w:szCs w:val="22"/>
          <w:lang w:val="en-US" w:eastAsia="zh-CN"/>
        </w:rPr>
        <w:t>风险控制措施应作为成文信息予以保持和保留。</w:t>
      </w:r>
    </w:p>
    <w:p>
      <w:pPr>
        <w:pStyle w:val="51"/>
        <w:bidi w:val="0"/>
        <w:ind w:left="0" w:leftChars="0" w:firstLine="0" w:firstLineChars="0"/>
        <w:rPr>
          <w:rFonts w:hint="eastAsia"/>
          <w:lang w:val="en-US" w:eastAsia="zh-CN"/>
        </w:rPr>
      </w:pPr>
      <w:bookmarkStart w:id="116" w:name="_Toc7740"/>
      <w:bookmarkStart w:id="117" w:name="_Toc31122"/>
      <w:bookmarkStart w:id="118" w:name="_Toc25010"/>
      <w:r>
        <w:rPr>
          <w:rFonts w:hint="eastAsia"/>
          <w:lang w:val="en-US" w:eastAsia="zh-CN"/>
        </w:rPr>
        <w:t>投入保障</w:t>
      </w:r>
      <w:bookmarkEnd w:id="116"/>
      <w:bookmarkEnd w:id="117"/>
      <w:bookmarkEnd w:id="118"/>
    </w:p>
    <w:p>
      <w:pPr>
        <w:pStyle w:val="51"/>
        <w:numPr>
          <w:ilvl w:val="0"/>
          <w:numId w:val="0"/>
        </w:numPr>
        <w:bidi w:val="0"/>
        <w:ind w:leftChars="0"/>
        <w:rPr>
          <w:rFonts w:hint="eastAsia"/>
          <w:lang w:val="en-US" w:eastAsia="zh-CN"/>
        </w:rPr>
      </w:pPr>
      <w:bookmarkStart w:id="119" w:name="_Toc9709"/>
      <w:bookmarkStart w:id="120" w:name="_Toc22476"/>
      <w:bookmarkStart w:id="121" w:name="_Toc15255"/>
      <w:r>
        <w:rPr>
          <w:rFonts w:hint="eastAsia"/>
          <w:lang w:val="en-US" w:eastAsia="zh-CN"/>
        </w:rPr>
        <w:t>5.4.1安全经费</w:t>
      </w:r>
      <w:bookmarkEnd w:id="119"/>
      <w:bookmarkEnd w:id="120"/>
      <w:bookmarkEnd w:id="121"/>
    </w:p>
    <w:p>
      <w:pPr>
        <w:pStyle w:val="21"/>
        <w:numPr>
          <w:ilvl w:val="0"/>
          <w:numId w:val="0"/>
        </w:numPr>
        <w:ind w:firstLine="42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安全费用按照“确保需要、规范使用”的原则，纳入企业预算管理，优先确保重大风险控制所需资金的投入。</w:t>
      </w:r>
    </w:p>
    <w:p>
      <w:pPr>
        <w:pStyle w:val="21"/>
        <w:numPr>
          <w:ilvl w:val="0"/>
          <w:numId w:val="0"/>
        </w:numPr>
        <w:ind w:firstLine="42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企业应：</w:t>
      </w:r>
    </w:p>
    <w:p>
      <w:pPr>
        <w:pStyle w:val="21"/>
        <w:numPr>
          <w:ilvl w:val="0"/>
          <w:numId w:val="34"/>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建立安全经费计划、提取及使用、结算管理</w:t>
      </w:r>
      <w:r>
        <w:rPr>
          <w:rFonts w:hint="eastAsia" w:cs="Times New Roman"/>
          <w:szCs w:val="22"/>
          <w:lang w:val="en-US" w:eastAsia="zh-CN"/>
        </w:rPr>
        <w:t>制度</w:t>
      </w:r>
      <w:r>
        <w:rPr>
          <w:rFonts w:hint="eastAsia" w:ascii="宋体" w:hAnsi="Times New Roman" w:eastAsia="宋体" w:cs="Times New Roman"/>
          <w:szCs w:val="22"/>
          <w:lang w:val="en-US" w:eastAsia="zh-CN"/>
        </w:rPr>
        <w:t>；</w:t>
      </w:r>
    </w:p>
    <w:p>
      <w:pPr>
        <w:pStyle w:val="21"/>
        <w:numPr>
          <w:ilvl w:val="0"/>
          <w:numId w:val="34"/>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按照计划的时间间隔编制安全经费投入计划；</w:t>
      </w:r>
    </w:p>
    <w:p>
      <w:pPr>
        <w:pStyle w:val="21"/>
        <w:numPr>
          <w:ilvl w:val="0"/>
          <w:numId w:val="34"/>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安全费用的提取应满足安全生产实际需要，专户核算，专款专用，按规定安排使用</w:t>
      </w:r>
      <w:r>
        <w:rPr>
          <w:rFonts w:hint="eastAsia" w:cs="Times New Roman"/>
          <w:szCs w:val="22"/>
          <w:lang w:val="en-US" w:eastAsia="zh-CN"/>
        </w:rPr>
        <w:t>；</w:t>
      </w:r>
    </w:p>
    <w:p>
      <w:pPr>
        <w:pStyle w:val="21"/>
        <w:numPr>
          <w:ilvl w:val="0"/>
          <w:numId w:val="34"/>
        </w:numPr>
        <w:ind w:left="420" w:leftChars="0" w:firstLine="0" w:firstLineChars="0"/>
        <w:rPr>
          <w:rFonts w:hint="default" w:ascii="宋体" w:hAnsi="Times New Roman" w:eastAsia="宋体" w:cs="Times New Roman"/>
          <w:szCs w:val="22"/>
          <w:lang w:val="en-US" w:eastAsia="zh-CN"/>
        </w:rPr>
      </w:pPr>
      <w:r>
        <w:rPr>
          <w:rFonts w:hint="eastAsia" w:ascii="宋体" w:hAnsi="Times New Roman" w:eastAsia="宋体" w:cs="Times New Roman"/>
          <w:szCs w:val="22"/>
          <w:lang w:val="en-US" w:eastAsia="zh-CN"/>
        </w:rPr>
        <w:t>按照计划的时间间隔对安全经费的使用情况进行核算。</w:t>
      </w:r>
    </w:p>
    <w:p>
      <w:pPr>
        <w:pStyle w:val="21"/>
        <w:numPr>
          <w:ilvl w:val="0"/>
          <w:numId w:val="0"/>
        </w:numPr>
        <w:ind w:firstLine="42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企业应将安全费用优先用于满足企业安全生产整改措施或者达到安全生产标准所需的支出。</w:t>
      </w:r>
    </w:p>
    <w:p>
      <w:pPr>
        <w:pStyle w:val="21"/>
        <w:numPr>
          <w:ilvl w:val="0"/>
          <w:numId w:val="0"/>
        </w:numPr>
        <w:ind w:firstLine="420"/>
        <w:rPr>
          <w:rFonts w:hint="default" w:ascii="宋体" w:hAnsi="Times New Roman" w:eastAsia="宋体" w:cs="Times New Roman"/>
          <w:szCs w:val="22"/>
          <w:lang w:val="en-US" w:eastAsia="zh-CN"/>
        </w:rPr>
      </w:pPr>
      <w:r>
        <w:rPr>
          <w:rFonts w:hint="eastAsia" w:ascii="宋体" w:hAnsi="Times New Roman" w:eastAsia="宋体" w:cs="Times New Roman"/>
          <w:szCs w:val="22"/>
          <w:lang w:val="en-US" w:eastAsia="zh-CN"/>
        </w:rPr>
        <w:t>安全经费的管理过程应作为成文信息予以保持和保留。</w:t>
      </w:r>
    </w:p>
    <w:p>
      <w:pPr>
        <w:pStyle w:val="51"/>
        <w:numPr>
          <w:ilvl w:val="0"/>
          <w:numId w:val="0"/>
        </w:numPr>
        <w:bidi w:val="0"/>
        <w:ind w:leftChars="0"/>
        <w:rPr>
          <w:rFonts w:hint="eastAsia"/>
          <w:lang w:val="en-US" w:eastAsia="zh-CN"/>
        </w:rPr>
      </w:pPr>
      <w:bookmarkStart w:id="122" w:name="_Toc2772"/>
      <w:bookmarkStart w:id="123" w:name="_Toc15580"/>
      <w:bookmarkStart w:id="124" w:name="_Toc26770"/>
      <w:r>
        <w:rPr>
          <w:rFonts w:hint="eastAsia"/>
          <w:lang w:val="en-US" w:eastAsia="zh-CN"/>
        </w:rPr>
        <w:t>5.4.2风险投入</w:t>
      </w:r>
      <w:bookmarkEnd w:id="122"/>
      <w:bookmarkEnd w:id="123"/>
      <w:bookmarkEnd w:id="124"/>
    </w:p>
    <w:p>
      <w:pPr>
        <w:pStyle w:val="21"/>
        <w:rPr>
          <w:rFonts w:hint="eastAsia"/>
          <w:lang w:val="en-US" w:eastAsia="zh-CN"/>
        </w:rPr>
      </w:pPr>
      <w:r>
        <w:rPr>
          <w:rFonts w:hint="eastAsia"/>
          <w:lang w:val="en-US" w:eastAsia="zh-CN"/>
        </w:rPr>
        <w:t>企业应对拟采取风险控制措施的有效性及其成本因素进行综合分析，确定合适的风险控制措施，并落实人、财、物等资源保障，提升其成本效益。</w:t>
      </w:r>
    </w:p>
    <w:p>
      <w:pPr>
        <w:pStyle w:val="21"/>
        <w:rPr>
          <w:rFonts w:hint="eastAsia"/>
          <w:lang w:val="en-US" w:eastAsia="zh-CN"/>
        </w:rPr>
      </w:pPr>
      <w:r>
        <w:rPr>
          <w:rFonts w:hint="eastAsia"/>
          <w:lang w:val="en-US" w:eastAsia="zh-CN"/>
        </w:rPr>
        <w:t>企业应：</w:t>
      </w:r>
    </w:p>
    <w:p>
      <w:pPr>
        <w:pStyle w:val="21"/>
        <w:rPr>
          <w:rFonts w:hint="default"/>
          <w:lang w:val="en-US" w:eastAsia="zh-CN"/>
        </w:rPr>
      </w:pPr>
      <w:r>
        <w:rPr>
          <w:rFonts w:hint="eastAsia"/>
          <w:lang w:val="en-US" w:eastAsia="zh-CN"/>
        </w:rPr>
        <w:t>a）优先确保重大风险控制所需资金的投入；</w:t>
      </w:r>
    </w:p>
    <w:p>
      <w:pPr>
        <w:pStyle w:val="21"/>
        <w:rPr>
          <w:rFonts w:hint="eastAsia"/>
          <w:lang w:val="en-US" w:eastAsia="zh-CN"/>
        </w:rPr>
      </w:pPr>
      <w:r>
        <w:rPr>
          <w:rFonts w:hint="eastAsia"/>
          <w:lang w:val="en-US" w:eastAsia="zh-CN"/>
        </w:rPr>
        <w:t>b）将控制风险所需资金纳入生产经营预算；</w:t>
      </w:r>
    </w:p>
    <w:p>
      <w:pPr>
        <w:pStyle w:val="21"/>
        <w:rPr>
          <w:rFonts w:hint="eastAsia" w:cs="Times New Roman"/>
          <w:szCs w:val="22"/>
          <w:lang w:val="en-US" w:eastAsia="zh-CN"/>
        </w:rPr>
      </w:pPr>
      <w:r>
        <w:rPr>
          <w:rFonts w:hint="eastAsia" w:cs="Times New Roman"/>
          <w:szCs w:val="22"/>
          <w:lang w:val="en-US" w:eastAsia="zh-CN"/>
        </w:rPr>
        <w:t>c）</w:t>
      </w:r>
      <w:r>
        <w:rPr>
          <w:rFonts w:hint="eastAsia" w:ascii="宋体" w:hAnsi="Times New Roman" w:eastAsia="宋体" w:cs="Times New Roman"/>
          <w:szCs w:val="22"/>
          <w:lang w:val="en-US" w:eastAsia="zh-CN"/>
        </w:rPr>
        <w:t>缴纳安全生产责任保险</w:t>
      </w:r>
      <w:r>
        <w:rPr>
          <w:rFonts w:hint="eastAsia" w:cs="Times New Roman"/>
          <w:szCs w:val="22"/>
          <w:lang w:val="en-US" w:eastAsia="zh-CN"/>
        </w:rPr>
        <w:t>、工伤保险等</w:t>
      </w:r>
      <w:r>
        <w:rPr>
          <w:rFonts w:hint="eastAsia" w:ascii="宋体" w:hAnsi="Times New Roman" w:eastAsia="宋体" w:cs="Times New Roman"/>
          <w:szCs w:val="22"/>
          <w:lang w:val="en-US" w:eastAsia="zh-CN"/>
        </w:rPr>
        <w:t>，适应安全生产新形势、新需求</w:t>
      </w:r>
      <w:r>
        <w:rPr>
          <w:rFonts w:hint="eastAsia" w:cs="Times New Roman"/>
          <w:szCs w:val="22"/>
          <w:lang w:val="en-US" w:eastAsia="zh-CN"/>
        </w:rPr>
        <w:t>。</w:t>
      </w:r>
    </w:p>
    <w:p>
      <w:pPr>
        <w:pStyle w:val="21"/>
        <w:numPr>
          <w:ilvl w:val="0"/>
          <w:numId w:val="0"/>
        </w:numPr>
        <w:ind w:left="0" w:leftChars="0" w:firstLine="420" w:firstLineChars="0"/>
        <w:rPr>
          <w:rFonts w:hint="eastAsia"/>
          <w:lang w:val="en-US" w:eastAsia="zh-CN"/>
        </w:rPr>
      </w:pPr>
      <w:r>
        <w:rPr>
          <w:rFonts w:hint="eastAsia"/>
          <w:lang w:val="en-US" w:eastAsia="zh-CN"/>
        </w:rPr>
        <w:t>企业应按计划的时间间隔对风险投入进行分析和评估，包括：</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lang w:val="en-US" w:eastAsia="zh-CN"/>
        </w:rPr>
        <w:t>——</w:t>
      </w:r>
      <w:r>
        <w:rPr>
          <w:rFonts w:hint="eastAsia" w:ascii="宋体" w:hAnsi="Times New Roman" w:eastAsia="宋体" w:cs="Times New Roman"/>
          <w:szCs w:val="22"/>
          <w:lang w:val="en-US" w:eastAsia="zh-CN"/>
        </w:rPr>
        <w:t>投入的资源及成本；</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避免的潜在损失；</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消除或减轻风险的效果；</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节约的成本；</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其他显性</w:t>
      </w:r>
      <w:r>
        <w:rPr>
          <w:rFonts w:hint="eastAsia" w:cs="Times New Roman"/>
          <w:szCs w:val="22"/>
          <w:lang w:val="en-US" w:eastAsia="zh-CN"/>
        </w:rPr>
        <w:t>或</w:t>
      </w:r>
      <w:r>
        <w:rPr>
          <w:rFonts w:hint="eastAsia" w:ascii="宋体" w:hAnsi="Times New Roman" w:eastAsia="宋体" w:cs="Times New Roman"/>
          <w:szCs w:val="22"/>
          <w:lang w:val="en-US" w:eastAsia="zh-CN"/>
        </w:rPr>
        <w:t>隐性安全收益。</w:t>
      </w:r>
    </w:p>
    <w:p>
      <w:pPr>
        <w:pStyle w:val="21"/>
        <w:rPr>
          <w:rFonts w:hint="eastAsia" w:ascii="宋体" w:hAnsi="Times New Roman" w:eastAsia="宋体" w:cs="Times New Roman"/>
          <w:szCs w:val="22"/>
          <w:lang w:val="en-US" w:eastAsia="zh-CN"/>
        </w:rPr>
      </w:pPr>
      <w:r>
        <w:rPr>
          <w:rFonts w:hint="eastAsia"/>
          <w:lang w:val="en-US" w:eastAsia="zh-CN"/>
        </w:rPr>
        <w:t>风险投入的结果应</w:t>
      </w:r>
      <w:r>
        <w:rPr>
          <w:rFonts w:hint="eastAsia" w:ascii="宋体" w:hAnsi="Times New Roman" w:eastAsia="宋体" w:cs="Times New Roman"/>
          <w:szCs w:val="22"/>
          <w:lang w:val="en-US" w:eastAsia="zh-CN"/>
        </w:rPr>
        <w:t>作为成文信息予以保持和保留。</w:t>
      </w:r>
    </w:p>
    <w:p>
      <w:pPr>
        <w:pStyle w:val="94"/>
        <w:rPr>
          <w:rFonts w:hint="default"/>
          <w:szCs w:val="22"/>
          <w:lang w:val="en-US" w:eastAsia="zh-CN"/>
        </w:rPr>
      </w:pPr>
      <w:bookmarkStart w:id="125" w:name="_Toc24034"/>
      <w:bookmarkStart w:id="126" w:name="_Toc14088"/>
      <w:bookmarkStart w:id="127" w:name="_Toc32748"/>
      <w:r>
        <w:rPr>
          <w:rFonts w:hint="eastAsia"/>
          <w:szCs w:val="22"/>
          <w:lang w:val="en-US" w:eastAsia="zh-CN"/>
        </w:rPr>
        <w:t>隐患管理</w:t>
      </w:r>
      <w:bookmarkEnd w:id="125"/>
      <w:bookmarkEnd w:id="126"/>
      <w:bookmarkEnd w:id="127"/>
    </w:p>
    <w:p>
      <w:pPr>
        <w:pStyle w:val="51"/>
        <w:bidi w:val="0"/>
        <w:ind w:left="0" w:leftChars="0" w:firstLine="0" w:firstLineChars="0"/>
        <w:rPr>
          <w:rFonts w:hint="eastAsia"/>
          <w:lang w:val="en-US" w:eastAsia="zh-CN"/>
        </w:rPr>
      </w:pPr>
      <w:bookmarkStart w:id="128" w:name="_Toc5808"/>
      <w:bookmarkStart w:id="129" w:name="_Toc4772"/>
      <w:bookmarkStart w:id="130" w:name="_Toc24100"/>
      <w:r>
        <w:rPr>
          <w:rFonts w:hint="eastAsia"/>
          <w:lang w:val="en-US" w:eastAsia="zh-CN"/>
        </w:rPr>
        <w:t>分级分类</w:t>
      </w:r>
      <w:bookmarkEnd w:id="128"/>
      <w:bookmarkEnd w:id="129"/>
      <w:bookmarkEnd w:id="130"/>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企业应建立事故</w:t>
      </w:r>
      <w:r>
        <w:rPr>
          <w:rFonts w:hint="eastAsia" w:ascii="宋体" w:hAnsi="宋体" w:cs="宋体"/>
          <w:color w:val="000000"/>
          <w:kern w:val="0"/>
          <w:sz w:val="21"/>
          <w:szCs w:val="21"/>
          <w:lang w:bidi="ar"/>
        </w:rPr>
        <w:t>隐患排查治理制度，落实从主要负责人到每位从业人员的隐患排查治理和防控责任制</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并按有关规定组织开展</w:t>
      </w:r>
      <w:r>
        <w:rPr>
          <w:rFonts w:hint="eastAsia" w:ascii="宋体" w:hAnsi="宋体" w:eastAsia="宋体" w:cs="宋体"/>
          <w:color w:val="000000"/>
          <w:kern w:val="0"/>
          <w:sz w:val="21"/>
          <w:szCs w:val="21"/>
          <w:lang w:val="en-US" w:eastAsia="zh-CN" w:bidi="ar"/>
        </w:rPr>
        <w:t>隐患排查治理</w:t>
      </w:r>
      <w:r>
        <w:rPr>
          <w:rFonts w:hint="eastAsia" w:ascii="宋体" w:hAnsi="宋体" w:cs="宋体"/>
          <w:color w:val="000000"/>
          <w:kern w:val="0"/>
          <w:sz w:val="21"/>
          <w:szCs w:val="21"/>
          <w:lang w:val="en-US" w:eastAsia="zh-CN" w:bidi="ar"/>
        </w:rPr>
        <w:t>工作</w:t>
      </w:r>
      <w:r>
        <w:rPr>
          <w:rFonts w:hint="eastAsia" w:ascii="宋体" w:hAnsi="宋体" w:eastAsia="宋体" w:cs="宋体"/>
          <w:color w:val="000000"/>
          <w:kern w:val="0"/>
          <w:sz w:val="21"/>
          <w:szCs w:val="21"/>
          <w:lang w:val="en-US" w:eastAsia="zh-CN" w:bidi="ar"/>
        </w:rPr>
        <w:t>，保障从业人员的职业安全与健康，降低企业安全生产风险，实现安全生产和安全发展。</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根据隐患整改、治理和排</w:t>
      </w:r>
      <w:r>
        <w:rPr>
          <w:rFonts w:hint="eastAsia" w:ascii="宋体" w:hAnsi="宋体" w:cs="宋体"/>
          <w:color w:val="000000"/>
          <w:kern w:val="0"/>
          <w:sz w:val="21"/>
          <w:szCs w:val="21"/>
          <w:lang w:val="en-US" w:eastAsia="zh-CN" w:bidi="ar"/>
        </w:rPr>
        <w:t>查</w:t>
      </w:r>
      <w:r>
        <w:rPr>
          <w:rFonts w:hint="eastAsia" w:ascii="宋体" w:hAnsi="宋体" w:eastAsia="宋体" w:cs="宋体"/>
          <w:color w:val="000000"/>
          <w:kern w:val="0"/>
          <w:sz w:val="21"/>
          <w:szCs w:val="21"/>
          <w:lang w:val="en-US" w:eastAsia="zh-CN" w:bidi="ar"/>
        </w:rPr>
        <w:t>的难度及其可能导致事故后果和影响范围，</w:t>
      </w:r>
      <w:r>
        <w:t>事故隐患</w:t>
      </w:r>
      <w:r>
        <w:rPr>
          <w:rFonts w:hint="eastAsia" w:ascii="宋体" w:hAnsi="宋体" w:eastAsia="宋体" w:cs="宋体"/>
          <w:color w:val="000000"/>
          <w:kern w:val="0"/>
          <w:sz w:val="21"/>
          <w:szCs w:val="21"/>
          <w:lang w:val="en-US" w:eastAsia="zh-CN" w:bidi="ar"/>
        </w:rPr>
        <w:t>分为一般事故隐患和重大事故隐患。</w:t>
      </w:r>
    </w:p>
    <w:p>
      <w:pPr>
        <w:keepNext w:val="0"/>
        <w:keepLines w:val="0"/>
        <w:widowControl/>
        <w:suppressLineNumbers w:val="0"/>
        <w:ind w:firstLine="420" w:firstLineChars="200"/>
        <w:jc w:val="left"/>
      </w:pPr>
      <w:r>
        <w:rPr>
          <w:rFonts w:ascii="华文中宋" w:hAnsi="华文中宋"/>
          <w:szCs w:val="21"/>
        </w:rPr>
        <w:t>根据隐患</w:t>
      </w:r>
      <w:r>
        <w:rPr>
          <w:rFonts w:hint="eastAsia" w:ascii="华文中宋" w:hAnsi="华文中宋"/>
          <w:szCs w:val="21"/>
        </w:rPr>
        <w:t>排查内容</w:t>
      </w:r>
      <w:r>
        <w:rPr>
          <w:rFonts w:ascii="华文中宋" w:hAnsi="华文中宋"/>
          <w:szCs w:val="21"/>
        </w:rPr>
        <w:t>进行</w:t>
      </w:r>
      <w:r>
        <w:rPr>
          <w:rFonts w:hint="eastAsia" w:ascii="华文中宋" w:hAnsi="华文中宋"/>
          <w:szCs w:val="21"/>
          <w:lang w:val="en-US" w:eastAsia="zh-CN"/>
        </w:rPr>
        <w:t>分类</w:t>
      </w:r>
      <w:r>
        <w:rPr>
          <w:rFonts w:ascii="华文中宋" w:hAnsi="华文中宋"/>
          <w:szCs w:val="21"/>
        </w:rPr>
        <w:t>，</w:t>
      </w:r>
      <w:r>
        <w:rPr>
          <w:rFonts w:hint="eastAsia" w:ascii="宋体" w:hAnsi="宋体" w:eastAsia="宋体" w:cs="宋体"/>
          <w:color w:val="000000"/>
          <w:kern w:val="0"/>
          <w:sz w:val="21"/>
          <w:szCs w:val="21"/>
          <w:lang w:val="en-US" w:eastAsia="zh-CN" w:bidi="ar"/>
        </w:rPr>
        <w:t>分为基础管理类隐患和现场</w:t>
      </w:r>
      <w:r>
        <w:rPr>
          <w:rFonts w:hint="eastAsia" w:ascii="宋体" w:hAnsi="宋体" w:cs="宋体"/>
          <w:color w:val="000000"/>
          <w:kern w:val="0"/>
          <w:sz w:val="21"/>
          <w:szCs w:val="21"/>
          <w:lang w:val="en-US" w:eastAsia="zh-CN" w:bidi="ar"/>
        </w:rPr>
        <w:t>管理</w:t>
      </w:r>
      <w:r>
        <w:rPr>
          <w:rFonts w:hint="eastAsia" w:ascii="宋体" w:hAnsi="宋体" w:eastAsia="宋体" w:cs="宋体"/>
          <w:color w:val="000000"/>
          <w:kern w:val="0"/>
          <w:sz w:val="21"/>
          <w:szCs w:val="21"/>
          <w:lang w:val="en-US" w:eastAsia="zh-CN" w:bidi="ar"/>
        </w:rPr>
        <w:t xml:space="preserve">类隐患。 </w:t>
      </w:r>
    </w:p>
    <w:p>
      <w:pPr>
        <w:pStyle w:val="21"/>
        <w:numPr>
          <w:ilvl w:val="0"/>
          <w:numId w:val="35"/>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基础管理类隐患包括</w:t>
      </w:r>
      <w:r>
        <w:rPr>
          <w:rFonts w:hint="eastAsia" w:ascii="宋体" w:hAnsi="Times New Roman" w:eastAsia="宋体" w:cs="Times New Roman"/>
          <w:szCs w:val="22"/>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1）</w:t>
      </w:r>
      <w:r>
        <w:rPr>
          <w:rFonts w:hint="eastAsia" w:ascii="宋体" w:hAnsi="Times New Roman"/>
          <w:kern w:val="0"/>
          <w:szCs w:val="22"/>
        </w:rPr>
        <w:t>资质证照</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2）</w:t>
      </w:r>
      <w:r>
        <w:rPr>
          <w:rFonts w:hint="eastAsia" w:ascii="宋体" w:hAnsi="Times New Roman"/>
          <w:kern w:val="0"/>
          <w:szCs w:val="22"/>
        </w:rPr>
        <w:t>安全生产管理机构及人员</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3）</w:t>
      </w:r>
      <w:r>
        <w:rPr>
          <w:rFonts w:hint="eastAsia" w:ascii="宋体" w:hAnsi="Times New Roman"/>
          <w:kern w:val="0"/>
          <w:szCs w:val="22"/>
        </w:rPr>
        <w:t>安全生产责任制</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cs="Times New Roman"/>
          <w:szCs w:val="22"/>
          <w:lang w:val="en-US" w:eastAsia="zh-CN"/>
        </w:rPr>
        <w:t>4）</w:t>
      </w:r>
      <w:r>
        <w:rPr>
          <w:rFonts w:hint="eastAsia" w:ascii="宋体" w:hAnsi="Times New Roman"/>
          <w:kern w:val="0"/>
          <w:szCs w:val="22"/>
        </w:rPr>
        <w:t>安全生产管理制度</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5）</w:t>
      </w:r>
      <w:r>
        <w:rPr>
          <w:rFonts w:hint="eastAsia" w:ascii="宋体" w:hAnsi="Times New Roman"/>
          <w:kern w:val="0"/>
          <w:szCs w:val="22"/>
        </w:rPr>
        <w:t>安全操作规程</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6）</w:t>
      </w:r>
      <w:r>
        <w:rPr>
          <w:rFonts w:hint="eastAsia" w:ascii="宋体" w:hAnsi="Times New Roman"/>
          <w:kern w:val="0"/>
          <w:szCs w:val="22"/>
        </w:rPr>
        <w:t>教育培训</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7）</w:t>
      </w:r>
      <w:r>
        <w:rPr>
          <w:rFonts w:hint="eastAsia" w:ascii="宋体" w:hAnsi="Times New Roman"/>
          <w:kern w:val="0"/>
          <w:szCs w:val="22"/>
        </w:rPr>
        <w:t>安全生产管理档案</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8）</w:t>
      </w:r>
      <w:r>
        <w:rPr>
          <w:rFonts w:hint="eastAsia" w:ascii="宋体" w:hAnsi="Times New Roman"/>
          <w:kern w:val="0"/>
          <w:szCs w:val="22"/>
        </w:rPr>
        <w:t>安全生产投入</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val="en-US" w:eastAsia="zh-CN"/>
        </w:rPr>
        <w:t>9）</w:t>
      </w:r>
      <w:r>
        <w:rPr>
          <w:rFonts w:hint="eastAsia" w:ascii="宋体" w:hAnsi="Times New Roman"/>
          <w:kern w:val="0"/>
          <w:szCs w:val="22"/>
        </w:rPr>
        <w:t>应急管理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1</w:t>
      </w:r>
      <w:r>
        <w:rPr>
          <w:rFonts w:hint="eastAsia"/>
          <w:kern w:val="0"/>
          <w:szCs w:val="22"/>
          <w:lang w:val="en-US" w:eastAsia="zh-CN"/>
        </w:rPr>
        <w:t>0）</w:t>
      </w:r>
      <w:r>
        <w:rPr>
          <w:rFonts w:hint="eastAsia" w:ascii="宋体" w:hAnsi="Times New Roman"/>
          <w:kern w:val="0"/>
          <w:szCs w:val="22"/>
        </w:rPr>
        <w:t>特种设备基础管理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1</w:t>
      </w:r>
      <w:r>
        <w:rPr>
          <w:rFonts w:hint="eastAsia"/>
          <w:kern w:val="0"/>
          <w:szCs w:val="22"/>
          <w:lang w:val="en-US" w:eastAsia="zh-CN"/>
        </w:rPr>
        <w:t>1）</w:t>
      </w:r>
      <w:r>
        <w:rPr>
          <w:rFonts w:hint="eastAsia" w:ascii="宋体" w:hAnsi="Times New Roman"/>
          <w:kern w:val="0"/>
          <w:szCs w:val="22"/>
        </w:rPr>
        <w:t>职业卫生基础管理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1</w:t>
      </w:r>
      <w:r>
        <w:rPr>
          <w:rFonts w:hint="eastAsia"/>
          <w:kern w:val="0"/>
          <w:szCs w:val="22"/>
          <w:lang w:val="en-US" w:eastAsia="zh-CN"/>
        </w:rPr>
        <w:t>2）</w:t>
      </w:r>
      <w:r>
        <w:rPr>
          <w:rFonts w:hint="eastAsia" w:ascii="宋体" w:hAnsi="Times New Roman"/>
          <w:kern w:val="0"/>
          <w:szCs w:val="22"/>
        </w:rPr>
        <w:t>相关方基础管理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cs="Times New Roman"/>
          <w:szCs w:val="22"/>
          <w:lang w:val="en-US" w:eastAsia="zh-CN"/>
        </w:rPr>
      </w:pPr>
      <w:r>
        <w:rPr>
          <w:rFonts w:hint="eastAsia" w:cs="Times New Roman"/>
          <w:szCs w:val="22"/>
          <w:lang w:val="en-US" w:eastAsia="zh-CN"/>
        </w:rPr>
        <w:t>13）</w:t>
      </w:r>
      <w:r>
        <w:rPr>
          <w:rFonts w:hint="eastAsia" w:ascii="宋体" w:hAnsi="Times New Roman"/>
          <w:kern w:val="0"/>
          <w:szCs w:val="22"/>
        </w:rPr>
        <w:t>其他基础管理</w:t>
      </w:r>
      <w:r>
        <w:rPr>
          <w:rFonts w:hint="eastAsia" w:ascii="宋体" w:hAnsi="Times New Roman"/>
          <w:kern w:val="0"/>
          <w:szCs w:val="22"/>
          <w:lang w:eastAsia="zh-CN"/>
        </w:rPr>
        <w:t>。</w:t>
      </w:r>
    </w:p>
    <w:p>
      <w:pPr>
        <w:pStyle w:val="21"/>
        <w:numPr>
          <w:ilvl w:val="0"/>
          <w:numId w:val="35"/>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现场管理</w:t>
      </w:r>
      <w:r>
        <w:rPr>
          <w:rFonts w:hint="eastAsia" w:ascii="宋体" w:hAnsi="Times New Roman" w:eastAsia="宋体" w:cs="Times New Roman"/>
          <w:szCs w:val="22"/>
          <w:lang w:val="en-US" w:eastAsia="zh-CN"/>
        </w:rPr>
        <w:t xml:space="preserve">类隐患包括： </w:t>
      </w:r>
    </w:p>
    <w:p>
      <w:pPr>
        <w:pStyle w:val="21"/>
        <w:numPr>
          <w:ilvl w:val="0"/>
          <w:numId w:val="0"/>
        </w:numPr>
        <w:ind w:left="420" w:leftChars="0" w:firstLine="420" w:firstLineChars="200"/>
        <w:rPr>
          <w:rFonts w:hint="eastAsia" w:ascii="宋体" w:hAnsi="Times New Roman" w:eastAsia="宋体" w:cs="Times New Roman"/>
          <w:szCs w:val="22"/>
          <w:lang w:val="en-US" w:eastAsia="zh-CN"/>
        </w:rPr>
      </w:pPr>
      <w:r>
        <w:rPr>
          <w:rFonts w:hint="eastAsia" w:cs="Times New Roman"/>
          <w:szCs w:val="22"/>
          <w:lang w:val="en-US" w:eastAsia="zh-CN"/>
        </w:rPr>
        <w:t>1）</w:t>
      </w:r>
      <w:r>
        <w:rPr>
          <w:rFonts w:ascii="华文中宋" w:hAnsi="华文中宋"/>
          <w:szCs w:val="21"/>
        </w:rPr>
        <w:t>特种设备现场管理</w:t>
      </w:r>
      <w:r>
        <w:rPr>
          <w:rFonts w:hint="eastAsia" w:ascii="华文中宋" w:hAnsi="华文中宋"/>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2）</w:t>
      </w:r>
      <w:r>
        <w:rPr>
          <w:rFonts w:ascii="华文中宋" w:hAnsi="华文中宋"/>
          <w:kern w:val="0"/>
          <w:szCs w:val="21"/>
        </w:rPr>
        <w:t>生产设备设施</w:t>
      </w:r>
      <w:r>
        <w:rPr>
          <w:rFonts w:hint="eastAsia" w:ascii="华文中宋" w:hAnsi="华文中宋"/>
          <w:kern w:val="0"/>
          <w:szCs w:val="21"/>
        </w:rPr>
        <w:t>及工艺</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3）</w:t>
      </w:r>
      <w:r>
        <w:rPr>
          <w:rFonts w:ascii="华文中宋" w:hAnsi="华文中宋"/>
          <w:kern w:val="0"/>
          <w:szCs w:val="21"/>
        </w:rPr>
        <w:t>场所环境</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4）</w:t>
      </w:r>
      <w:r>
        <w:rPr>
          <w:rFonts w:ascii="华文中宋" w:hAnsi="华文中宋"/>
          <w:kern w:val="0"/>
          <w:szCs w:val="21"/>
        </w:rPr>
        <w:t>从业人员操作行为</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5）</w:t>
      </w:r>
      <w:r>
        <w:rPr>
          <w:rFonts w:ascii="华文中宋" w:hAnsi="华文中宋"/>
          <w:kern w:val="0"/>
          <w:szCs w:val="21"/>
        </w:rPr>
        <w:t>消防安全</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6）</w:t>
      </w:r>
      <w:r>
        <w:rPr>
          <w:rFonts w:hint="eastAsia" w:ascii="宋体" w:hAnsi="Times New Roman"/>
          <w:kern w:val="0"/>
          <w:szCs w:val="22"/>
        </w:rPr>
        <w:t>用电安全</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cs="Times New Roman"/>
          <w:szCs w:val="22"/>
          <w:lang w:val="en-US" w:eastAsia="zh-CN"/>
        </w:rPr>
        <w:t>7）</w:t>
      </w:r>
      <w:r>
        <w:rPr>
          <w:rFonts w:hint="eastAsia" w:ascii="宋体" w:hAnsi="Times New Roman"/>
          <w:kern w:val="0"/>
          <w:szCs w:val="22"/>
        </w:rPr>
        <w:t>职业卫生现场安全</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ascii="宋体" w:hAnsi="Times New Roman"/>
          <w:kern w:val="0"/>
          <w:szCs w:val="22"/>
          <w:lang w:val="en-US" w:eastAsia="zh-CN"/>
        </w:rPr>
        <w:t>8）</w:t>
      </w:r>
      <w:r>
        <w:rPr>
          <w:rFonts w:hint="eastAsia" w:ascii="宋体" w:hAnsi="Times New Roman"/>
          <w:kern w:val="0"/>
          <w:szCs w:val="22"/>
        </w:rPr>
        <w:t>有限空间现场安全</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ascii="宋体" w:hAnsi="Times New Roman"/>
          <w:kern w:val="0"/>
          <w:szCs w:val="22"/>
          <w:lang w:val="en-US" w:eastAsia="zh-CN"/>
        </w:rPr>
        <w:t>9）</w:t>
      </w:r>
      <w:r>
        <w:rPr>
          <w:rFonts w:hint="eastAsia" w:ascii="宋体" w:hAnsi="Times New Roman"/>
          <w:kern w:val="0"/>
          <w:szCs w:val="22"/>
        </w:rPr>
        <w:t>辅助动力系统</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ascii="宋体" w:hAnsi="Times New Roman"/>
          <w:kern w:val="0"/>
          <w:szCs w:val="22"/>
          <w:lang w:val="en-US" w:eastAsia="zh-CN"/>
        </w:rPr>
        <w:t>10）</w:t>
      </w:r>
      <w:r>
        <w:rPr>
          <w:rFonts w:hint="eastAsia" w:ascii="宋体" w:hAnsi="Times New Roman"/>
          <w:kern w:val="0"/>
          <w:szCs w:val="22"/>
        </w:rPr>
        <w:t>相关方现场管理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eastAsia="zh-CN"/>
        </w:rPr>
      </w:pPr>
      <w:r>
        <w:rPr>
          <w:rFonts w:hint="eastAsia" w:ascii="宋体" w:hAnsi="Times New Roman"/>
          <w:kern w:val="0"/>
          <w:szCs w:val="22"/>
          <w:lang w:val="en-US" w:eastAsia="zh-CN"/>
        </w:rPr>
        <w:t>11）</w:t>
      </w:r>
      <w:r>
        <w:rPr>
          <w:rFonts w:hint="eastAsia" w:ascii="宋体" w:hAnsi="Times New Roman"/>
          <w:kern w:val="0"/>
          <w:szCs w:val="22"/>
        </w:rPr>
        <w:t>其他现场管理</w:t>
      </w:r>
      <w:r>
        <w:rPr>
          <w:rFonts w:hint="eastAsia" w:ascii="宋体" w:hAnsi="Times New Roman"/>
          <w:kern w:val="0"/>
          <w:szCs w:val="22"/>
          <w:lang w:eastAsia="zh-CN"/>
        </w:rPr>
        <w:t>。</w:t>
      </w:r>
    </w:p>
    <w:p>
      <w:pPr>
        <w:pStyle w:val="51"/>
        <w:bidi w:val="0"/>
        <w:ind w:left="0" w:leftChars="0" w:firstLine="0" w:firstLineChars="0"/>
        <w:rPr>
          <w:rFonts w:hint="eastAsia"/>
          <w:lang w:val="en-US" w:eastAsia="zh-CN"/>
        </w:rPr>
      </w:pPr>
      <w:bookmarkStart w:id="131" w:name="_Toc21726"/>
      <w:bookmarkStart w:id="132" w:name="_Toc19541"/>
      <w:bookmarkStart w:id="133" w:name="_Toc8254"/>
      <w:r>
        <w:rPr>
          <w:rFonts w:hint="eastAsia"/>
          <w:lang w:val="en-US" w:eastAsia="zh-CN"/>
        </w:rPr>
        <w:t>隐患排查</w:t>
      </w:r>
      <w:bookmarkEnd w:id="131"/>
      <w:bookmarkEnd w:id="132"/>
      <w:bookmarkEnd w:id="133"/>
    </w:p>
    <w:p>
      <w:pPr>
        <w:pStyle w:val="51"/>
        <w:numPr>
          <w:ilvl w:val="1"/>
          <w:numId w:val="0"/>
        </w:numPr>
        <w:bidi w:val="0"/>
        <w:ind w:leftChars="0"/>
        <w:rPr>
          <w:rFonts w:hint="default" w:hAnsi="Times New Roman" w:cs="Times New Roman"/>
          <w:lang w:val="en-US" w:eastAsia="zh-CN"/>
        </w:rPr>
      </w:pPr>
      <w:bookmarkStart w:id="134" w:name="_Toc12838"/>
      <w:bookmarkStart w:id="135" w:name="_Toc2065"/>
      <w:r>
        <w:rPr>
          <w:rFonts w:hint="eastAsia" w:hAnsi="Times New Roman" w:cs="Times New Roman"/>
          <w:lang w:val="en-US" w:eastAsia="zh-CN"/>
        </w:rPr>
        <w:t>6.2.1</w:t>
      </w:r>
      <w:r>
        <w:rPr>
          <w:rFonts w:hint="eastAsia" w:cs="Times New Roman"/>
          <w:lang w:val="en-US" w:eastAsia="zh-CN"/>
        </w:rPr>
        <w:t>策划</w:t>
      </w:r>
      <w:bookmarkEnd w:id="134"/>
      <w:bookmarkEnd w:id="135"/>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lang w:val="en-US" w:eastAsia="zh-CN"/>
        </w:rPr>
        <w:t>企业应</w:t>
      </w:r>
      <w:r>
        <w:rPr>
          <w:rFonts w:hint="eastAsia" w:ascii="宋体" w:hAnsi="宋体" w:cs="宋体"/>
          <w:color w:val="000000"/>
          <w:kern w:val="0"/>
          <w:sz w:val="21"/>
          <w:szCs w:val="21"/>
          <w:lang w:val="en-US" w:eastAsia="zh-CN" w:bidi="ar"/>
        </w:rPr>
        <w:t>根</w:t>
      </w:r>
      <w:r>
        <w:rPr>
          <w:rFonts w:hint="eastAsia" w:ascii="宋体" w:hAnsi="宋体" w:eastAsia="宋体" w:cs="宋体"/>
          <w:color w:val="000000"/>
          <w:kern w:val="0"/>
          <w:sz w:val="21"/>
          <w:szCs w:val="21"/>
          <w:lang w:val="en-US" w:eastAsia="zh-CN" w:bidi="ar"/>
        </w:rPr>
        <w:t>据</w:t>
      </w:r>
      <w:r>
        <w:rPr>
          <w:rFonts w:hint="eastAsia" w:ascii="宋体" w:hAnsi="宋体" w:cs="宋体"/>
          <w:color w:val="000000"/>
          <w:kern w:val="0"/>
          <w:sz w:val="21"/>
          <w:szCs w:val="21"/>
          <w:lang w:val="en-US" w:eastAsia="zh-CN" w:bidi="ar"/>
        </w:rPr>
        <w:t>法律法规和隐患排查治理制度要求</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确定隐患排查周期，并</w:t>
      </w:r>
      <w:r>
        <w:rPr>
          <w:rFonts w:hint="eastAsia" w:ascii="宋体" w:hAnsi="宋体" w:eastAsia="宋体" w:cs="宋体"/>
          <w:color w:val="000000"/>
          <w:kern w:val="0"/>
          <w:sz w:val="21"/>
          <w:szCs w:val="21"/>
          <w:lang w:val="en-US" w:eastAsia="zh-CN" w:bidi="ar"/>
        </w:rPr>
        <w:t>编制</w:t>
      </w:r>
      <w:r>
        <w:rPr>
          <w:rFonts w:hint="eastAsia" w:ascii="宋体" w:hAnsi="宋体" w:cs="宋体"/>
          <w:color w:val="000000"/>
          <w:kern w:val="0"/>
          <w:sz w:val="21"/>
          <w:szCs w:val="21"/>
          <w:lang w:val="en-US" w:eastAsia="zh-CN" w:bidi="ar"/>
        </w:rPr>
        <w:t>隐患</w:t>
      </w:r>
      <w:r>
        <w:rPr>
          <w:rFonts w:hint="eastAsia" w:ascii="宋体" w:hAnsi="宋体" w:eastAsia="宋体" w:cs="宋体"/>
          <w:color w:val="000000"/>
          <w:kern w:val="0"/>
          <w:sz w:val="21"/>
          <w:szCs w:val="21"/>
          <w:lang w:val="en-US" w:eastAsia="zh-CN" w:bidi="ar"/>
        </w:rPr>
        <w:t>排查</w:t>
      </w:r>
      <w:r>
        <w:rPr>
          <w:rFonts w:hint="eastAsia" w:ascii="宋体" w:hAnsi="宋体" w:cs="宋体"/>
          <w:color w:val="000000"/>
          <w:kern w:val="0"/>
          <w:sz w:val="21"/>
          <w:szCs w:val="21"/>
          <w:lang w:val="en-US" w:eastAsia="zh-CN" w:bidi="ar"/>
        </w:rPr>
        <w:t>清</w:t>
      </w:r>
      <w:r>
        <w:rPr>
          <w:rFonts w:hint="eastAsia" w:ascii="宋体" w:hAnsi="宋体" w:eastAsia="宋体" w:cs="宋体"/>
          <w:color w:val="000000"/>
          <w:kern w:val="0"/>
          <w:sz w:val="21"/>
          <w:szCs w:val="21"/>
          <w:lang w:val="en-US" w:eastAsia="zh-CN" w:bidi="ar"/>
        </w:rPr>
        <w:t>单。隐患排查清单包括基础管理类隐患</w:t>
      </w:r>
      <w:r>
        <w:rPr>
          <w:rFonts w:hint="eastAsia" w:ascii="宋体" w:hAnsi="宋体" w:cs="宋体"/>
          <w:color w:val="000000"/>
          <w:kern w:val="0"/>
          <w:sz w:val="21"/>
          <w:szCs w:val="21"/>
          <w:lang w:val="en-US" w:eastAsia="zh-CN" w:bidi="ar"/>
        </w:rPr>
        <w:t>和</w:t>
      </w:r>
      <w:r>
        <w:rPr>
          <w:rFonts w:hint="eastAsia" w:ascii="宋体" w:hAnsi="宋体" w:eastAsia="宋体" w:cs="宋体"/>
          <w:color w:val="000000"/>
          <w:kern w:val="0"/>
          <w:sz w:val="21"/>
          <w:szCs w:val="21"/>
          <w:lang w:val="en-US" w:eastAsia="zh-CN" w:bidi="ar"/>
        </w:rPr>
        <w:t>现场</w:t>
      </w:r>
      <w:r>
        <w:rPr>
          <w:rFonts w:hint="eastAsia" w:ascii="宋体" w:hAnsi="宋体" w:cs="宋体"/>
          <w:color w:val="000000"/>
          <w:kern w:val="0"/>
          <w:sz w:val="21"/>
          <w:szCs w:val="21"/>
          <w:lang w:val="en-US" w:eastAsia="zh-CN" w:bidi="ar"/>
        </w:rPr>
        <w:t>管理</w:t>
      </w:r>
      <w:r>
        <w:rPr>
          <w:rFonts w:hint="eastAsia" w:ascii="宋体" w:hAnsi="宋体" w:eastAsia="宋体" w:cs="宋体"/>
          <w:color w:val="000000"/>
          <w:kern w:val="0"/>
          <w:sz w:val="21"/>
          <w:szCs w:val="21"/>
          <w:lang w:val="en-US" w:eastAsia="zh-CN" w:bidi="ar"/>
        </w:rPr>
        <w:t>类隐患</w:t>
      </w:r>
      <w:r>
        <w:rPr>
          <w:rFonts w:hint="eastAsia" w:ascii="宋体" w:hAnsi="宋体" w:cs="宋体"/>
          <w:color w:val="000000"/>
          <w:kern w:val="0"/>
          <w:sz w:val="21"/>
          <w:szCs w:val="21"/>
          <w:lang w:val="en-US" w:eastAsia="zh-CN" w:bidi="ar"/>
        </w:rPr>
        <w:t>排查内容</w:t>
      </w:r>
      <w:r>
        <w:rPr>
          <w:rFonts w:hint="eastAsia" w:ascii="宋体" w:hAnsi="宋体" w:eastAsia="宋体" w:cs="宋体"/>
          <w:color w:val="000000"/>
          <w:kern w:val="0"/>
          <w:sz w:val="21"/>
          <w:szCs w:val="21"/>
          <w:lang w:val="en-US" w:eastAsia="zh-CN" w:bidi="ar"/>
        </w:rPr>
        <w:t>。</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隐患排查清单内容应包括（但不限于）：</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基础管理</w:t>
      </w:r>
      <w:r>
        <w:rPr>
          <w:rFonts w:hint="eastAsia" w:cs="Times New Roman"/>
          <w:szCs w:val="22"/>
          <w:lang w:val="en-US" w:eastAsia="zh-CN"/>
        </w:rPr>
        <w:t>分类</w:t>
      </w:r>
      <w:r>
        <w:rPr>
          <w:rFonts w:hint="eastAsia" w:ascii="宋体" w:hAnsi="Times New Roman" w:eastAsia="宋体" w:cs="Times New Roman"/>
          <w:szCs w:val="22"/>
          <w:lang w:val="en-US" w:eastAsia="zh-CN"/>
        </w:rPr>
        <w:t>名称</w:t>
      </w:r>
      <w:r>
        <w:rPr>
          <w:rFonts w:hint="eastAsia" w:cs="Times New Roman"/>
          <w:szCs w:val="22"/>
          <w:lang w:val="en-US" w:eastAsia="zh-CN"/>
        </w:rPr>
        <w:t>或生产设备设施名称、作业名称</w:t>
      </w:r>
      <w:r>
        <w:rPr>
          <w:rFonts w:hint="eastAsia" w:ascii="宋体" w:hAnsi="Times New Roman" w:eastAsia="宋体" w:cs="Times New Roman"/>
          <w:szCs w:val="22"/>
          <w:lang w:val="en-US" w:eastAsia="zh-CN"/>
        </w:rPr>
        <w:t xml:space="preserve">； </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 xml:space="preserve">排查内容； </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 xml:space="preserve">排查标准； </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排查方法。</w:t>
      </w:r>
    </w:p>
    <w:p>
      <w:pPr>
        <w:pStyle w:val="21"/>
        <w:numPr>
          <w:ilvl w:val="0"/>
          <w:numId w:val="0"/>
        </w:numPr>
        <w:ind w:firstLine="420" w:firstLineChars="200"/>
        <w:rPr>
          <w:rFonts w:hint="eastAsia" w:ascii="宋体" w:hAnsi="Times New Roman" w:eastAsia="宋体" w:cs="Times New Roman"/>
          <w:szCs w:val="22"/>
          <w:lang w:val="en-US" w:eastAsia="zh-CN"/>
        </w:rPr>
      </w:pPr>
      <w:r>
        <w:rPr>
          <w:rFonts w:hint="eastAsia"/>
          <w:lang w:val="en-US" w:eastAsia="zh-CN"/>
        </w:rPr>
        <w:t>隐患排查清单应</w:t>
      </w:r>
      <w:r>
        <w:rPr>
          <w:rFonts w:hint="eastAsia" w:ascii="宋体" w:hAnsi="Times New Roman" w:eastAsia="宋体" w:cs="Times New Roman"/>
          <w:szCs w:val="22"/>
          <w:lang w:val="en-US" w:eastAsia="zh-CN"/>
        </w:rPr>
        <w:t>作为成文信息予以保持和保留。</w:t>
      </w:r>
    </w:p>
    <w:p>
      <w:pPr>
        <w:pStyle w:val="51"/>
        <w:numPr>
          <w:ilvl w:val="1"/>
          <w:numId w:val="0"/>
        </w:numPr>
        <w:bidi w:val="0"/>
        <w:ind w:leftChars="0"/>
        <w:rPr>
          <w:rFonts w:hint="default" w:hAnsi="Times New Roman" w:cs="Times New Roman"/>
          <w:lang w:val="en-US" w:eastAsia="zh-CN"/>
        </w:rPr>
      </w:pPr>
      <w:bookmarkStart w:id="136" w:name="_Toc7859"/>
      <w:bookmarkStart w:id="137" w:name="_Toc8852"/>
      <w:bookmarkStart w:id="138" w:name="_Toc1457"/>
      <w:r>
        <w:rPr>
          <w:rFonts w:hint="eastAsia" w:hAnsi="Times New Roman" w:cs="Times New Roman"/>
          <w:lang w:val="en-US" w:eastAsia="zh-CN"/>
        </w:rPr>
        <w:t>6.2.</w:t>
      </w:r>
      <w:r>
        <w:rPr>
          <w:rFonts w:hint="eastAsia" w:cs="Times New Roman"/>
          <w:lang w:val="en-US" w:eastAsia="zh-CN"/>
        </w:rPr>
        <w:t>2</w:t>
      </w:r>
      <w:r>
        <w:rPr>
          <w:rFonts w:hint="eastAsia" w:hAnsi="Times New Roman" w:cs="Times New Roman"/>
          <w:lang w:val="en-US" w:eastAsia="zh-CN"/>
        </w:rPr>
        <w:t>实施</w:t>
      </w:r>
      <w:bookmarkEnd w:id="136"/>
      <w:bookmarkEnd w:id="137"/>
      <w:bookmarkEnd w:id="138"/>
    </w:p>
    <w:p>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企业应在隐患排查实施前确定：</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隐患</w:t>
      </w:r>
      <w:r>
        <w:rPr>
          <w:rFonts w:hint="eastAsia" w:ascii="宋体" w:hAnsi="Times New Roman" w:eastAsia="宋体" w:cs="Times New Roman"/>
          <w:szCs w:val="22"/>
          <w:lang w:val="en-US" w:eastAsia="zh-CN"/>
        </w:rPr>
        <w:t>排查类型</w:t>
      </w:r>
      <w:r>
        <w:rPr>
          <w:rFonts w:hint="eastAsia" w:cs="Times New Roman"/>
          <w:szCs w:val="22"/>
          <w:lang w:val="en-US" w:eastAsia="zh-CN"/>
        </w:rPr>
        <w:t>；</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隐患</w:t>
      </w:r>
      <w:r>
        <w:rPr>
          <w:rFonts w:hint="eastAsia" w:ascii="宋体" w:hAnsi="Times New Roman" w:eastAsia="宋体" w:cs="Times New Roman"/>
          <w:szCs w:val="22"/>
          <w:lang w:val="en-US" w:eastAsia="zh-CN"/>
        </w:rPr>
        <w:t>排查</w:t>
      </w:r>
      <w:r>
        <w:rPr>
          <w:rFonts w:hint="eastAsia" w:cs="Times New Roman"/>
          <w:szCs w:val="22"/>
          <w:lang w:val="en-US" w:eastAsia="zh-CN"/>
        </w:rPr>
        <w:t>范围；</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隐患</w:t>
      </w:r>
      <w:r>
        <w:rPr>
          <w:rFonts w:hint="eastAsia" w:ascii="宋体" w:hAnsi="Times New Roman" w:eastAsia="宋体" w:cs="Times New Roman"/>
          <w:szCs w:val="22"/>
          <w:lang w:val="en-US" w:eastAsia="zh-CN"/>
        </w:rPr>
        <w:t>排查要求</w:t>
      </w:r>
      <w:r>
        <w:rPr>
          <w:rFonts w:hint="eastAsia" w:cs="Times New Roman"/>
          <w:szCs w:val="22"/>
          <w:lang w:val="en-US" w:eastAsia="zh-CN"/>
        </w:rPr>
        <w:t>；</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排查人员安排；</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其他事项。</w:t>
      </w:r>
    </w:p>
    <w:p>
      <w:pPr>
        <w:pStyle w:val="21"/>
        <w:numPr>
          <w:ilvl w:val="0"/>
          <w:numId w:val="0"/>
        </w:numPr>
        <w:ind w:left="0" w:leftChars="0" w:firstLine="420" w:firstLineChars="200"/>
        <w:rPr>
          <w:rFonts w:hint="eastAsia" w:ascii="宋体" w:hAnsi="Times New Roman" w:eastAsia="宋体" w:cs="Times New Roman"/>
          <w:szCs w:val="22"/>
          <w:lang w:val="en-US" w:eastAsia="zh-CN"/>
        </w:rPr>
      </w:pPr>
      <w:r>
        <w:rPr>
          <w:rFonts w:hint="eastAsia" w:hAnsi="宋体" w:cs="宋体"/>
          <w:color w:val="000000"/>
          <w:kern w:val="0"/>
          <w:sz w:val="21"/>
          <w:szCs w:val="21"/>
          <w:lang w:val="en-US" w:eastAsia="zh-CN" w:bidi="ar"/>
        </w:rPr>
        <w:t>企业应根据</w:t>
      </w:r>
      <w:r>
        <w:rPr>
          <w:rFonts w:hint="eastAsia" w:ascii="宋体" w:hAnsi="宋体" w:cs="宋体"/>
          <w:color w:val="000000"/>
          <w:kern w:val="0"/>
          <w:sz w:val="21"/>
          <w:szCs w:val="21"/>
          <w:lang w:val="en-US" w:eastAsia="zh-CN" w:bidi="ar"/>
        </w:rPr>
        <w:t>隐患</w:t>
      </w:r>
      <w:r>
        <w:rPr>
          <w:rFonts w:hint="eastAsia" w:ascii="宋体" w:hAnsi="宋体" w:eastAsia="宋体" w:cs="宋体"/>
          <w:color w:val="000000"/>
          <w:kern w:val="0"/>
          <w:sz w:val="21"/>
          <w:szCs w:val="21"/>
          <w:lang w:val="en-US" w:eastAsia="zh-CN" w:bidi="ar"/>
        </w:rPr>
        <w:t>排查类型、</w:t>
      </w:r>
      <w:r>
        <w:rPr>
          <w:rFonts w:hint="eastAsia" w:hAnsi="宋体" w:cs="宋体"/>
          <w:color w:val="000000"/>
          <w:kern w:val="0"/>
          <w:sz w:val="21"/>
          <w:szCs w:val="21"/>
          <w:lang w:val="en-US" w:eastAsia="zh-CN" w:bidi="ar"/>
        </w:rPr>
        <w:t>范围</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人员</w:t>
      </w:r>
      <w:r>
        <w:rPr>
          <w:rFonts w:hint="eastAsia" w:ascii="宋体" w:hAnsi="宋体" w:cs="宋体"/>
          <w:color w:val="000000"/>
          <w:kern w:val="0"/>
          <w:sz w:val="21"/>
          <w:szCs w:val="21"/>
          <w:lang w:val="en-US" w:eastAsia="zh-CN" w:bidi="ar"/>
        </w:rPr>
        <w:t>数量</w:t>
      </w:r>
      <w:r>
        <w:rPr>
          <w:rFonts w:hint="eastAsia" w:ascii="宋体" w:hAnsi="宋体" w:eastAsia="宋体" w:cs="宋体"/>
          <w:color w:val="000000"/>
          <w:kern w:val="0"/>
          <w:sz w:val="21"/>
          <w:szCs w:val="21"/>
          <w:lang w:val="en-US" w:eastAsia="zh-CN" w:bidi="ar"/>
        </w:rPr>
        <w:t>、时间安排和季节特点</w:t>
      </w:r>
      <w:r>
        <w:rPr>
          <w:rFonts w:hint="eastAsia" w:ascii="宋体" w:hAnsi="宋体" w:cs="宋体"/>
          <w:color w:val="000000"/>
          <w:kern w:val="0"/>
          <w:sz w:val="21"/>
          <w:szCs w:val="21"/>
          <w:lang w:val="en-US" w:eastAsia="zh-CN" w:bidi="ar"/>
        </w:rPr>
        <w:t>等</w:t>
      </w:r>
      <w:r>
        <w:rPr>
          <w:rFonts w:hint="eastAsia" w:ascii="宋体" w:hAnsi="宋体" w:eastAsia="宋体" w:cs="宋体"/>
          <w:color w:val="000000"/>
          <w:kern w:val="0"/>
          <w:sz w:val="21"/>
          <w:szCs w:val="21"/>
          <w:lang w:val="en-US" w:eastAsia="zh-CN" w:bidi="ar"/>
        </w:rPr>
        <w:t>，</w:t>
      </w:r>
      <w:r>
        <w:rPr>
          <w:rFonts w:hint="eastAsia" w:hAnsi="宋体" w:cs="宋体"/>
          <w:color w:val="000000"/>
          <w:kern w:val="0"/>
          <w:sz w:val="21"/>
          <w:szCs w:val="21"/>
          <w:lang w:val="en-US" w:eastAsia="zh-CN" w:bidi="ar"/>
        </w:rPr>
        <w:t>选择有</w:t>
      </w:r>
      <w:r>
        <w:rPr>
          <w:rFonts w:hint="eastAsia" w:ascii="宋体" w:hAnsi="宋体" w:eastAsia="宋体" w:cs="宋体"/>
          <w:color w:val="000000"/>
          <w:kern w:val="0"/>
          <w:sz w:val="21"/>
          <w:szCs w:val="21"/>
          <w:lang w:val="en-US" w:eastAsia="zh-CN" w:bidi="ar"/>
        </w:rPr>
        <w:t>针对性的排查</w:t>
      </w:r>
      <w:r>
        <w:rPr>
          <w:rFonts w:hint="eastAsia" w:ascii="宋体" w:hAnsi="宋体" w:cs="宋体"/>
          <w:color w:val="000000"/>
          <w:kern w:val="0"/>
          <w:sz w:val="21"/>
          <w:szCs w:val="21"/>
          <w:lang w:val="en-US" w:eastAsia="zh-CN" w:bidi="ar"/>
        </w:rPr>
        <w:t>内容</w:t>
      </w:r>
      <w:r>
        <w:rPr>
          <w:rFonts w:hint="eastAsia" w:hAnsi="宋体" w:cs="宋体"/>
          <w:color w:val="000000"/>
          <w:kern w:val="0"/>
          <w:sz w:val="21"/>
          <w:szCs w:val="21"/>
          <w:lang w:val="en-US" w:eastAsia="zh-CN" w:bidi="ar"/>
        </w:rPr>
        <w:t>。</w:t>
      </w:r>
    </w:p>
    <w:p>
      <w:pPr>
        <w:pStyle w:val="21"/>
        <w:numPr>
          <w:ilvl w:val="-1"/>
          <w:numId w:val="0"/>
        </w:numPr>
        <w:ind w:left="0" w:firstLine="420" w:firstLineChars="0"/>
        <w:rPr>
          <w:rFonts w:hint="eastAsia" w:ascii="宋体" w:hAnsi="Times New Roman" w:eastAsia="宋体" w:cs="Times New Roman"/>
          <w:kern w:val="0"/>
          <w:sz w:val="21"/>
          <w:szCs w:val="22"/>
          <w:lang w:val="en-US" w:eastAsia="zh-CN" w:bidi="ar-SA"/>
        </w:rPr>
      </w:pPr>
      <w:r>
        <w:rPr>
          <w:rFonts w:hint="eastAsia" w:cs="Times New Roman"/>
          <w:szCs w:val="22"/>
          <w:lang w:val="en-US" w:eastAsia="zh-CN"/>
        </w:rPr>
        <w:t>企业应</w:t>
      </w:r>
      <w:r>
        <w:rPr>
          <w:rFonts w:hint="eastAsia" w:ascii="宋体" w:hAnsi="Times New Roman" w:eastAsia="宋体" w:cs="Times New Roman"/>
          <w:kern w:val="0"/>
          <w:sz w:val="21"/>
          <w:szCs w:val="22"/>
          <w:lang w:val="en-US" w:eastAsia="zh-CN" w:bidi="ar-SA"/>
        </w:rPr>
        <w:t>按照</w:t>
      </w:r>
      <w:r>
        <w:rPr>
          <w:rFonts w:hint="eastAsia" w:cs="Times New Roman"/>
          <w:kern w:val="0"/>
          <w:sz w:val="21"/>
          <w:szCs w:val="22"/>
          <w:lang w:val="en-US" w:eastAsia="zh-CN" w:bidi="ar-SA"/>
        </w:rPr>
        <w:t>策划的内容组织</w:t>
      </w:r>
      <w:r>
        <w:rPr>
          <w:rFonts w:hint="eastAsia" w:ascii="宋体" w:hAnsi="Times New Roman" w:eastAsia="宋体" w:cs="Times New Roman"/>
          <w:kern w:val="0"/>
          <w:sz w:val="21"/>
          <w:szCs w:val="22"/>
          <w:lang w:val="en-US" w:eastAsia="zh-CN" w:bidi="ar-SA"/>
        </w:rPr>
        <w:t>隐患排查</w:t>
      </w:r>
      <w:r>
        <w:rPr>
          <w:rFonts w:hint="eastAsia" w:cs="Times New Roman"/>
          <w:kern w:val="0"/>
          <w:sz w:val="21"/>
          <w:szCs w:val="22"/>
          <w:lang w:val="en-US" w:eastAsia="zh-CN" w:bidi="ar-SA"/>
        </w:rPr>
        <w:t>工作，</w:t>
      </w:r>
      <w:r>
        <w:rPr>
          <w:rFonts w:hint="eastAsia" w:ascii="宋体" w:hAnsi="Times New Roman" w:eastAsia="宋体" w:cs="Times New Roman"/>
          <w:kern w:val="0"/>
          <w:sz w:val="21"/>
          <w:szCs w:val="22"/>
          <w:lang w:val="en-US" w:eastAsia="zh-CN" w:bidi="ar-SA"/>
        </w:rPr>
        <w:t xml:space="preserve">填写隐患排查记录。 </w:t>
      </w:r>
    </w:p>
    <w:p>
      <w:pPr>
        <w:keepNext w:val="0"/>
        <w:keepLines w:val="0"/>
        <w:widowControl/>
        <w:suppressLineNumbers w:val="0"/>
        <w:ind w:firstLine="420" w:firstLineChars="200"/>
        <w:jc w:val="left"/>
        <w:rPr>
          <w:rFonts w:hint="eastAsia" w:ascii="宋体" w:hAnsi="Times New Roman" w:eastAsia="宋体" w:cs="Times New Roman"/>
          <w:kern w:val="0"/>
          <w:sz w:val="21"/>
          <w:szCs w:val="22"/>
          <w:lang w:val="en-US" w:eastAsia="zh-CN" w:bidi="ar-SA"/>
        </w:rPr>
      </w:pPr>
      <w:r>
        <w:rPr>
          <w:rFonts w:hint="eastAsia"/>
          <w:lang w:val="en-US" w:eastAsia="zh-CN"/>
        </w:rPr>
        <w:t>隐患排查资料应</w:t>
      </w:r>
      <w:r>
        <w:rPr>
          <w:rFonts w:hint="eastAsia" w:ascii="宋体" w:hAnsi="Times New Roman" w:eastAsia="宋体" w:cs="Times New Roman"/>
          <w:szCs w:val="22"/>
          <w:lang w:val="en-US" w:eastAsia="zh-CN"/>
        </w:rPr>
        <w:t>作为成文信息予以保持和保留。</w:t>
      </w:r>
    </w:p>
    <w:p>
      <w:pPr>
        <w:pStyle w:val="51"/>
        <w:bidi w:val="0"/>
        <w:ind w:left="0" w:leftChars="0" w:firstLine="0" w:firstLineChars="0"/>
        <w:rPr>
          <w:rFonts w:hint="eastAsia" w:hAnsi="Times New Roman" w:cs="Times New Roman"/>
          <w:lang w:val="en-US" w:eastAsia="zh-CN"/>
        </w:rPr>
      </w:pPr>
      <w:bookmarkStart w:id="139" w:name="_Toc23483"/>
      <w:bookmarkStart w:id="140" w:name="_Toc15106"/>
      <w:bookmarkStart w:id="141" w:name="_Toc26074"/>
      <w:r>
        <w:rPr>
          <w:rFonts w:hint="eastAsia"/>
          <w:lang w:val="en-US" w:eastAsia="zh-CN"/>
        </w:rPr>
        <w:t>隐患治理</w:t>
      </w:r>
      <w:bookmarkEnd w:id="139"/>
      <w:bookmarkEnd w:id="140"/>
      <w:bookmarkEnd w:id="141"/>
    </w:p>
    <w:p>
      <w:pPr>
        <w:pStyle w:val="51"/>
        <w:numPr>
          <w:ilvl w:val="1"/>
          <w:numId w:val="0"/>
        </w:numPr>
        <w:bidi w:val="0"/>
        <w:ind w:leftChars="0"/>
        <w:rPr>
          <w:rFonts w:hint="eastAsia" w:hAnsi="Times New Roman" w:cs="Times New Roman"/>
          <w:lang w:val="en-US" w:eastAsia="zh-CN"/>
        </w:rPr>
      </w:pPr>
      <w:bookmarkStart w:id="142" w:name="_Toc19555"/>
      <w:bookmarkStart w:id="143" w:name="_Toc7734"/>
      <w:r>
        <w:rPr>
          <w:rFonts w:hint="eastAsia" w:hAnsi="Times New Roman" w:cs="Times New Roman"/>
          <w:lang w:val="en-US" w:eastAsia="zh-CN"/>
        </w:rPr>
        <w:t>6.3.1</w:t>
      </w:r>
      <w:r>
        <w:rPr>
          <w:rFonts w:hint="eastAsia" w:cs="Times New Roman"/>
          <w:lang w:val="en-US" w:eastAsia="zh-CN"/>
        </w:rPr>
        <w:t>分级</w:t>
      </w:r>
      <w:r>
        <w:rPr>
          <w:rFonts w:hint="eastAsia" w:hAnsi="Times New Roman" w:cs="Times New Roman"/>
          <w:lang w:val="en-US" w:eastAsia="zh-CN"/>
        </w:rPr>
        <w:t>治理</w:t>
      </w:r>
      <w:bookmarkEnd w:id="142"/>
      <w:bookmarkEnd w:id="143"/>
    </w:p>
    <w:p>
      <w:pPr>
        <w:pStyle w:val="21"/>
        <w:ind w:left="0" w:leftChars="0" w:firstLine="420" w:firstLineChars="200"/>
      </w:pPr>
      <w:r>
        <w:rPr>
          <w:rFonts w:hint="eastAsia"/>
          <w:lang w:val="en-US" w:eastAsia="zh-CN"/>
        </w:rPr>
        <w:t>企业应</w:t>
      </w:r>
      <w:r>
        <w:t>对排查出的事故隐患按照等级进行登记，建立事故隐患信息档案，并按照职责分工实施监控治理。</w:t>
      </w:r>
    </w:p>
    <w:p>
      <w:pPr>
        <w:pStyle w:val="21"/>
        <w:ind w:left="0" w:leftChars="0" w:firstLine="420" w:firstLineChars="200"/>
        <w:rPr>
          <w:rFonts w:hint="default" w:eastAsia="宋体"/>
          <w:lang w:val="en-US" w:eastAsia="zh-CN"/>
        </w:rPr>
      </w:pPr>
      <w:r>
        <w:rPr>
          <w:rFonts w:hint="eastAsia"/>
          <w:lang w:val="en-US" w:eastAsia="zh-CN"/>
        </w:rPr>
        <w:t>企业应对事故隐患进行分级治理：</w:t>
      </w:r>
    </w:p>
    <w:p>
      <w:pPr>
        <w:pStyle w:val="21"/>
        <w:numPr>
          <w:ilvl w:val="0"/>
          <w:numId w:val="38"/>
        </w:numPr>
        <w:ind w:left="420" w:leftChars="0" w:firstLine="0" w:firstLineChars="0"/>
        <w:rPr>
          <w:rFonts w:hint="eastAsia" w:cs="Times New Roman"/>
          <w:szCs w:val="22"/>
          <w:lang w:val="en-US" w:eastAsia="zh-CN"/>
        </w:rPr>
      </w:pPr>
      <w:r>
        <w:rPr>
          <w:rFonts w:hint="eastAsia" w:cs="Times New Roman"/>
          <w:szCs w:val="22"/>
          <w:lang w:val="en-US" w:eastAsia="zh-CN"/>
        </w:rPr>
        <w:t>对一般事故隐患，由企业负责人或者有关人员立即组织整改，并安排专人进行确认整改情况。</w:t>
      </w:r>
    </w:p>
    <w:p>
      <w:pPr>
        <w:pStyle w:val="21"/>
        <w:numPr>
          <w:ilvl w:val="0"/>
          <w:numId w:val="38"/>
        </w:numPr>
        <w:ind w:left="420" w:leftChars="0" w:firstLine="0" w:firstLineChars="0"/>
        <w:rPr>
          <w:rFonts w:hint="eastAsia" w:cs="Times New Roman"/>
          <w:szCs w:val="22"/>
          <w:lang w:val="en-US" w:eastAsia="zh-CN"/>
        </w:rPr>
      </w:pPr>
      <w:r>
        <w:rPr>
          <w:rFonts w:hint="eastAsia" w:cs="Times New Roman"/>
          <w:szCs w:val="22"/>
          <w:lang w:val="en-US" w:eastAsia="zh-CN"/>
        </w:rPr>
        <w:t xml:space="preserve">对重大事故隐患，由企业主要负责人组织制定并实施事故隐患治理方案。重大事故隐患治理方案应包括：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1）治理的目标和任务；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2）采取的方法和措施；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3）经费和物资的落实；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4）负责治理的机构和人员；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5）治理的时限和要求； </w:t>
      </w:r>
    </w:p>
    <w:p>
      <w:pPr>
        <w:pStyle w:val="21"/>
        <w:numPr>
          <w:ilvl w:val="0"/>
          <w:numId w:val="0"/>
        </w:numPr>
        <w:ind w:left="420" w:leftChars="0" w:firstLine="420" w:firstLineChars="200"/>
        <w:rPr>
          <w:rFonts w:hint="eastAsia"/>
          <w:szCs w:val="22"/>
        </w:rPr>
      </w:pPr>
      <w:r>
        <w:rPr>
          <w:rFonts w:hint="eastAsia" w:ascii="宋体" w:hAnsi="Times New Roman"/>
          <w:kern w:val="0"/>
          <w:szCs w:val="22"/>
          <w:lang w:val="en-US" w:eastAsia="zh-CN"/>
        </w:rPr>
        <w:t>6）安全措施和应急预案。</w:t>
      </w:r>
      <w:r>
        <w:rPr>
          <w:rFonts w:hint="eastAsia"/>
          <w:szCs w:val="22"/>
        </w:rPr>
        <w:t xml:space="preserve"> </w:t>
      </w:r>
    </w:p>
    <w:p>
      <w:pPr>
        <w:pStyle w:val="21"/>
        <w:numPr>
          <w:ilvl w:val="0"/>
          <w:numId w:val="0"/>
        </w:numPr>
        <w:ind w:firstLine="420" w:firstLineChars="200"/>
        <w:rPr>
          <w:rFonts w:hint="eastAsia"/>
          <w:szCs w:val="24"/>
        </w:rPr>
      </w:pPr>
      <w:r>
        <w:rPr>
          <w:rFonts w:hint="eastAsia" w:ascii="Times New Roman" w:hAnsi="Times New Roman" w:cs="Times New Roman"/>
          <w:color w:val="000000"/>
          <w:kern w:val="2"/>
          <w:sz w:val="21"/>
          <w:szCs w:val="24"/>
        </w:rPr>
        <w:t>企业在隐患治理过程中，应采取相应的监控防范措施。隐患排</w:t>
      </w:r>
      <w:r>
        <w:rPr>
          <w:rFonts w:hint="eastAsia" w:ascii="Times New Roman" w:cs="Times New Roman"/>
          <w:color w:val="000000"/>
          <w:kern w:val="2"/>
          <w:sz w:val="21"/>
          <w:szCs w:val="24"/>
          <w:lang w:val="en-US" w:eastAsia="zh-CN"/>
        </w:rPr>
        <w:t>查</w:t>
      </w:r>
      <w:r>
        <w:rPr>
          <w:rFonts w:hint="eastAsia" w:ascii="Times New Roman" w:hAnsi="Times New Roman" w:cs="Times New Roman"/>
          <w:color w:val="000000"/>
          <w:kern w:val="2"/>
          <w:sz w:val="21"/>
          <w:szCs w:val="24"/>
        </w:rPr>
        <w:t>前或排</w:t>
      </w:r>
      <w:r>
        <w:rPr>
          <w:rFonts w:hint="eastAsia" w:ascii="Times New Roman" w:cs="Times New Roman"/>
          <w:color w:val="000000"/>
          <w:kern w:val="2"/>
          <w:sz w:val="21"/>
          <w:szCs w:val="24"/>
          <w:lang w:val="en-US" w:eastAsia="zh-CN"/>
        </w:rPr>
        <w:t>查</w:t>
      </w:r>
      <w:r>
        <w:rPr>
          <w:rFonts w:hint="eastAsia" w:ascii="Times New Roman" w:hAnsi="Times New Roman" w:cs="Times New Roman"/>
          <w:color w:val="000000"/>
          <w:kern w:val="2"/>
          <w:sz w:val="21"/>
          <w:szCs w:val="24"/>
        </w:rPr>
        <w:t>过程中无法保证安全的，应从危险区域内撤出作业人员，疏</w:t>
      </w:r>
      <w:r>
        <w:rPr>
          <w:rFonts w:hint="eastAsia" w:cs="Times New Roman"/>
          <w:kern w:val="2"/>
          <w:sz w:val="21"/>
          <w:szCs w:val="24"/>
          <w:lang w:val="en-US" w:eastAsia="zh-CN"/>
        </w:rPr>
        <w:t>散</w:t>
      </w:r>
      <w:r>
        <w:rPr>
          <w:rFonts w:hint="eastAsia" w:ascii="Times New Roman" w:hAnsi="Times New Roman" w:cs="Times New Roman"/>
          <w:color w:val="000000"/>
          <w:kern w:val="2"/>
          <w:sz w:val="21"/>
          <w:szCs w:val="24"/>
        </w:rPr>
        <w:t>可能危及的人员，设置警戒标</w:t>
      </w:r>
      <w:r>
        <w:rPr>
          <w:rFonts w:hint="eastAsia" w:ascii="Times New Roman" w:cs="Times New Roman"/>
          <w:color w:val="000000"/>
          <w:kern w:val="2"/>
          <w:sz w:val="21"/>
          <w:szCs w:val="24"/>
          <w:lang w:val="en-US" w:eastAsia="zh-CN"/>
        </w:rPr>
        <w:t>识</w:t>
      </w:r>
      <w:r>
        <w:rPr>
          <w:rFonts w:hint="eastAsia" w:ascii="Times New Roman" w:hAnsi="Times New Roman" w:cs="Times New Roman"/>
          <w:color w:val="000000"/>
          <w:kern w:val="2"/>
          <w:sz w:val="21"/>
          <w:szCs w:val="24"/>
        </w:rPr>
        <w:t>，暂时停产停业或停止使用相关设备、设施。</w:t>
      </w:r>
    </w:p>
    <w:p>
      <w:pPr>
        <w:pStyle w:val="21"/>
        <w:rPr>
          <w:rFonts w:hint="eastAsia"/>
          <w:lang w:val="en-US" w:eastAsia="zh-CN"/>
        </w:rPr>
      </w:pPr>
      <w:r>
        <w:rPr>
          <w:rFonts w:hint="eastAsia"/>
          <w:lang w:val="en-US" w:eastAsia="zh-CN"/>
        </w:rPr>
        <w:t>隐患治理应</w:t>
      </w:r>
      <w:r>
        <w:rPr>
          <w:rFonts w:hint="eastAsia" w:ascii="宋体" w:hAnsi="Times New Roman" w:eastAsia="宋体" w:cs="Times New Roman"/>
          <w:szCs w:val="22"/>
          <w:lang w:val="en-US" w:eastAsia="zh-CN"/>
        </w:rPr>
        <w:t>作为成文信息予以保持和保留。</w:t>
      </w:r>
    </w:p>
    <w:p>
      <w:pPr>
        <w:pStyle w:val="51"/>
        <w:numPr>
          <w:ilvl w:val="1"/>
          <w:numId w:val="0"/>
        </w:numPr>
        <w:bidi w:val="0"/>
        <w:ind w:leftChars="0"/>
        <w:rPr>
          <w:rFonts w:hint="default" w:hAnsi="Times New Roman" w:cs="Times New Roman"/>
          <w:lang w:val="en-US" w:eastAsia="zh-CN"/>
        </w:rPr>
      </w:pPr>
      <w:bookmarkStart w:id="144" w:name="_Toc9066"/>
      <w:bookmarkStart w:id="145" w:name="_Toc32458"/>
      <w:bookmarkStart w:id="146" w:name="_Toc192"/>
      <w:r>
        <w:rPr>
          <w:rFonts w:hint="eastAsia" w:hAnsi="Times New Roman" w:cs="Times New Roman"/>
          <w:lang w:val="en-US" w:eastAsia="zh-CN"/>
        </w:rPr>
        <w:t>6.3.</w:t>
      </w:r>
      <w:r>
        <w:rPr>
          <w:rFonts w:hint="eastAsia" w:cs="Times New Roman"/>
          <w:lang w:val="en-US" w:eastAsia="zh-CN"/>
        </w:rPr>
        <w:t>2</w:t>
      </w:r>
      <w:r>
        <w:rPr>
          <w:rFonts w:hint="eastAsia" w:hAnsi="Times New Roman" w:cs="Times New Roman"/>
          <w:lang w:val="en-US" w:eastAsia="zh-CN"/>
        </w:rPr>
        <w:t>验收</w:t>
      </w:r>
      <w:bookmarkEnd w:id="144"/>
      <w:r>
        <w:rPr>
          <w:rFonts w:hint="eastAsia" w:cs="Times New Roman"/>
          <w:lang w:val="en-US" w:eastAsia="zh-CN"/>
        </w:rPr>
        <w:t>评估</w:t>
      </w:r>
      <w:bookmarkEnd w:id="145"/>
      <w:bookmarkEnd w:id="146"/>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隐患治理完成后，</w:t>
      </w:r>
      <w:r>
        <w:rPr>
          <w:rFonts w:hint="eastAsia" w:ascii="宋体" w:hAnsi="宋体" w:cs="宋体"/>
          <w:color w:val="000000"/>
          <w:kern w:val="0"/>
          <w:sz w:val="21"/>
          <w:szCs w:val="21"/>
          <w:lang w:val="en-US" w:eastAsia="zh-CN" w:bidi="ar"/>
        </w:rPr>
        <w:t>企业</w:t>
      </w:r>
      <w:r>
        <w:rPr>
          <w:rFonts w:hint="eastAsia" w:ascii="宋体" w:hAnsi="宋体" w:eastAsia="宋体" w:cs="宋体"/>
          <w:color w:val="000000"/>
          <w:kern w:val="0"/>
          <w:sz w:val="21"/>
          <w:szCs w:val="21"/>
          <w:lang w:val="en-US" w:eastAsia="zh-CN" w:bidi="ar"/>
        </w:rPr>
        <w:t>应</w:t>
      </w:r>
      <w:r>
        <w:rPr>
          <w:rFonts w:hint="eastAsia" w:ascii="宋体" w:hAnsi="宋体" w:cs="宋体"/>
          <w:color w:val="000000"/>
          <w:kern w:val="0"/>
          <w:sz w:val="21"/>
          <w:szCs w:val="21"/>
          <w:lang w:val="en-US" w:eastAsia="zh-CN" w:bidi="ar"/>
        </w:rPr>
        <w:t>按照有关规定</w:t>
      </w:r>
      <w:r>
        <w:rPr>
          <w:rFonts w:hint="eastAsia" w:ascii="宋体" w:hAnsi="宋体" w:eastAsia="宋体" w:cs="宋体"/>
          <w:color w:val="000000"/>
          <w:kern w:val="0"/>
          <w:sz w:val="21"/>
          <w:szCs w:val="21"/>
          <w:lang w:val="en-US" w:eastAsia="zh-CN" w:bidi="ar"/>
        </w:rPr>
        <w:t>对治理情况进行验收</w:t>
      </w:r>
      <w:r>
        <w:rPr>
          <w:rFonts w:hint="eastAsia" w:ascii="宋体" w:hAnsi="宋体" w:cs="宋体"/>
          <w:color w:val="000000"/>
          <w:kern w:val="0"/>
          <w:sz w:val="21"/>
          <w:szCs w:val="21"/>
          <w:lang w:val="en-US" w:eastAsia="zh-CN" w:bidi="ar"/>
        </w:rPr>
        <w:t>、评估</w:t>
      </w:r>
      <w:r>
        <w:rPr>
          <w:rFonts w:hint="eastAsia" w:ascii="宋体" w:hAnsi="宋体" w:eastAsia="宋体" w:cs="宋体"/>
          <w:color w:val="000000"/>
          <w:kern w:val="0"/>
          <w:sz w:val="21"/>
          <w:szCs w:val="21"/>
          <w:lang w:val="en-US" w:eastAsia="zh-CN" w:bidi="ar"/>
        </w:rPr>
        <w:t>，实现闭环管理。</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重大</w:t>
      </w:r>
      <w:r>
        <w:rPr>
          <w:rFonts w:hint="eastAsia" w:ascii="宋体" w:hAnsi="宋体" w:cs="宋体"/>
          <w:color w:val="000000"/>
          <w:kern w:val="0"/>
          <w:sz w:val="21"/>
          <w:szCs w:val="21"/>
          <w:lang w:val="en-US" w:eastAsia="zh-CN" w:bidi="ar"/>
        </w:rPr>
        <w:t>事故</w:t>
      </w:r>
      <w:r>
        <w:rPr>
          <w:rFonts w:hint="eastAsia" w:ascii="宋体" w:hAnsi="宋体" w:eastAsia="宋体" w:cs="宋体"/>
          <w:color w:val="000000"/>
          <w:kern w:val="0"/>
          <w:sz w:val="21"/>
          <w:szCs w:val="21"/>
          <w:lang w:val="en-US" w:eastAsia="zh-CN" w:bidi="ar"/>
        </w:rPr>
        <w:t>隐患治理</w:t>
      </w:r>
      <w:r>
        <w:rPr>
          <w:rFonts w:hint="eastAsia" w:ascii="宋体" w:hAnsi="宋体" w:cs="宋体"/>
          <w:color w:val="000000"/>
          <w:kern w:val="0"/>
          <w:sz w:val="21"/>
          <w:szCs w:val="21"/>
          <w:lang w:val="en-US" w:eastAsia="zh-CN" w:bidi="ar"/>
        </w:rPr>
        <w:t>完成</w:t>
      </w:r>
      <w:r>
        <w:rPr>
          <w:rFonts w:hint="eastAsia" w:ascii="宋体" w:hAnsi="宋体" w:eastAsia="宋体" w:cs="宋体"/>
          <w:color w:val="000000"/>
          <w:kern w:val="0"/>
          <w:sz w:val="21"/>
          <w:szCs w:val="21"/>
          <w:lang w:val="en-US" w:eastAsia="zh-CN" w:bidi="ar"/>
        </w:rPr>
        <w:t>后，企业应</w:t>
      </w:r>
      <w:r>
        <w:rPr>
          <w:rFonts w:hint="eastAsia" w:ascii="宋体" w:hAnsi="宋体" w:cs="宋体"/>
          <w:color w:val="000000"/>
          <w:kern w:val="0"/>
          <w:sz w:val="21"/>
          <w:szCs w:val="21"/>
          <w:lang w:bidi="ar"/>
        </w:rPr>
        <w:t>组织验收或委托依法设立的为安全生产提供技术、管理服务的机构进行评估</w:t>
      </w:r>
      <w:r>
        <w:rPr>
          <w:rFonts w:hint="eastAsia" w:ascii="宋体" w:hAnsi="宋体" w:eastAsia="宋体" w:cs="宋体"/>
          <w:color w:val="000000"/>
          <w:kern w:val="0"/>
          <w:sz w:val="21"/>
          <w:szCs w:val="21"/>
          <w:lang w:val="en-US" w:eastAsia="zh-CN" w:bidi="ar"/>
        </w:rPr>
        <w:t>。</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对政府督办的重大</w:t>
      </w:r>
      <w:r>
        <w:rPr>
          <w:rFonts w:hint="eastAsia" w:ascii="宋体" w:hAnsi="宋体" w:cs="宋体"/>
          <w:color w:val="000000"/>
          <w:kern w:val="0"/>
          <w:sz w:val="21"/>
          <w:szCs w:val="21"/>
          <w:lang w:val="en-US" w:eastAsia="zh-CN" w:bidi="ar"/>
        </w:rPr>
        <w:t>事故</w:t>
      </w:r>
      <w:r>
        <w:rPr>
          <w:rFonts w:hint="eastAsia" w:ascii="宋体" w:hAnsi="宋体" w:eastAsia="宋体" w:cs="宋体"/>
          <w:color w:val="000000"/>
          <w:kern w:val="0"/>
          <w:sz w:val="21"/>
          <w:szCs w:val="21"/>
          <w:lang w:val="en-US" w:eastAsia="zh-CN" w:bidi="ar"/>
        </w:rPr>
        <w:t>隐患，按有关规定执行。</w:t>
      </w:r>
    </w:p>
    <w:p>
      <w:pPr>
        <w:pStyle w:val="21"/>
        <w:rPr>
          <w:rFonts w:hint="eastAsia" w:ascii="宋体" w:hAnsi="Times New Roman" w:eastAsia="宋体" w:cs="Times New Roman"/>
          <w:szCs w:val="22"/>
          <w:lang w:val="en-US" w:eastAsia="zh-CN"/>
        </w:rPr>
      </w:pPr>
      <w:r>
        <w:rPr>
          <w:rFonts w:hint="eastAsia"/>
          <w:lang w:val="en-US" w:eastAsia="zh-CN"/>
        </w:rPr>
        <w:t>隐患治理验收应</w:t>
      </w:r>
      <w:r>
        <w:rPr>
          <w:rFonts w:hint="eastAsia" w:ascii="宋体" w:hAnsi="Times New Roman" w:eastAsia="宋体" w:cs="Times New Roman"/>
          <w:szCs w:val="22"/>
          <w:lang w:val="en-US" w:eastAsia="zh-CN"/>
        </w:rPr>
        <w:t>作为成文信息予以保持和保留。</w:t>
      </w:r>
    </w:p>
    <w:p>
      <w:pPr>
        <w:pStyle w:val="51"/>
        <w:bidi w:val="0"/>
        <w:ind w:left="0" w:leftChars="0" w:firstLine="0" w:firstLineChars="0"/>
        <w:rPr>
          <w:rFonts w:hint="eastAsia" w:hAnsi="Times New Roman" w:cs="Times New Roman"/>
          <w:lang w:val="en-US" w:eastAsia="zh-CN"/>
        </w:rPr>
      </w:pPr>
      <w:bookmarkStart w:id="147" w:name="_Toc17281"/>
      <w:bookmarkStart w:id="148" w:name="_Toc6106"/>
      <w:r>
        <w:rPr>
          <w:rFonts w:hint="eastAsia" w:cs="Times New Roman"/>
          <w:lang w:val="en-US" w:eastAsia="zh-CN"/>
        </w:rPr>
        <w:t>通报与报告</w:t>
      </w:r>
      <w:bookmarkEnd w:id="147"/>
      <w:bookmarkEnd w:id="148"/>
    </w:p>
    <w:p>
      <w:pPr>
        <w:tabs>
          <w:tab w:val="center" w:pos="4201"/>
          <w:tab w:val="right" w:leader="dot" w:pos="9298"/>
        </w:tabs>
        <w:ind w:firstLine="420" w:firstLineChars="200"/>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企业应如实记录隐患排查治理情况，及时将隐患及排查治理情况向从业人员通报。</w:t>
      </w:r>
    </w:p>
    <w:p>
      <w:pPr>
        <w:tabs>
          <w:tab w:val="center" w:pos="4201"/>
          <w:tab w:val="right" w:leader="dot" w:pos="9298"/>
        </w:tabs>
        <w:ind w:firstLine="420" w:firstLineChars="200"/>
        <w:jc w:val="left"/>
        <w:rPr>
          <w:rFonts w:hint="eastAsia"/>
          <w:lang w:val="en-US" w:eastAsia="zh-CN"/>
        </w:rPr>
      </w:pPr>
      <w:r>
        <w:rPr>
          <w:rFonts w:hint="eastAsia" w:ascii="宋体" w:hAnsi="宋体" w:cs="宋体"/>
          <w:color w:val="000000"/>
          <w:kern w:val="0"/>
          <w:sz w:val="21"/>
          <w:szCs w:val="21"/>
          <w:lang w:bidi="ar"/>
        </w:rPr>
        <w:t>企业应对事故隐患排查治理情况进行管理和统计分析，按有关规定向有关部门报告。</w:t>
      </w:r>
    </w:p>
    <w:p>
      <w:pPr>
        <w:pStyle w:val="94"/>
        <w:rPr>
          <w:rFonts w:hint="eastAsia"/>
          <w:szCs w:val="22"/>
          <w:lang w:val="en-US" w:eastAsia="zh-CN"/>
        </w:rPr>
      </w:pPr>
      <w:bookmarkStart w:id="149" w:name="_Toc11497"/>
      <w:bookmarkStart w:id="150" w:name="_Toc30648"/>
      <w:bookmarkStart w:id="151" w:name="_Toc693"/>
      <w:r>
        <w:rPr>
          <w:rFonts w:hint="eastAsia"/>
          <w:szCs w:val="22"/>
          <w:lang w:val="en-US" w:eastAsia="zh-CN"/>
        </w:rPr>
        <w:t>人力资源管理</w:t>
      </w:r>
      <w:bookmarkEnd w:id="149"/>
      <w:bookmarkEnd w:id="150"/>
      <w:bookmarkEnd w:id="151"/>
    </w:p>
    <w:p>
      <w:pPr>
        <w:pStyle w:val="51"/>
        <w:bidi w:val="0"/>
        <w:ind w:left="0" w:leftChars="0" w:firstLine="0" w:firstLineChars="0"/>
        <w:rPr>
          <w:rFonts w:hint="eastAsia"/>
          <w:lang w:val="en-US" w:eastAsia="zh-CN"/>
        </w:rPr>
      </w:pPr>
      <w:bookmarkStart w:id="152" w:name="_Toc29425"/>
      <w:bookmarkStart w:id="153" w:name="_Toc23484"/>
      <w:bookmarkStart w:id="154" w:name="_Toc14805"/>
      <w:r>
        <w:rPr>
          <w:rFonts w:hint="eastAsia"/>
          <w:lang w:val="en-US" w:eastAsia="zh-CN"/>
        </w:rPr>
        <w:t>领导作用</w:t>
      </w:r>
      <w:bookmarkEnd w:id="152"/>
      <w:bookmarkEnd w:id="153"/>
      <w:bookmarkEnd w:id="154"/>
    </w:p>
    <w:p>
      <w:pPr>
        <w:pStyle w:val="21"/>
        <w:rPr>
          <w:rFonts w:hint="eastAsia"/>
          <w:lang w:val="en-US" w:eastAsia="zh-CN"/>
        </w:rPr>
      </w:pPr>
      <w:r>
        <w:rPr>
          <w:rFonts w:hint="eastAsia"/>
          <w:lang w:val="en-US" w:eastAsia="zh-CN"/>
        </w:rPr>
        <w:t>最高管理者应证实其对安全与风险综合管理体系的领导作用，确保安全与风险综合管理体系适应市场竞争和企业发展的需要：</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对安全与风险综合管理体系的有效性负责；</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确保建立安全与风险方针和目标指标，并确保其与企业的战略方向及所处的环境相一致；</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建立安全与风险综合管理体系的组织机构；</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确保将安全与风险综合管理体系要求融入企业的业务过程；</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确保可获得安全与风险综合管理体系所需的资源；</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促进使用过程方法和基于风险的思维；</w:t>
      </w:r>
    </w:p>
    <w:p>
      <w:pPr>
        <w:pStyle w:val="21"/>
        <w:numPr>
          <w:ilvl w:val="0"/>
          <w:numId w:val="39"/>
        </w:numPr>
        <w:ind w:left="420" w:leftChars="0" w:firstLine="0" w:firstLineChars="0"/>
        <w:rPr>
          <w:rFonts w:hint="eastAsia"/>
          <w:szCs w:val="22"/>
          <w:highlight w:val="none"/>
          <w:lang w:val="en-US" w:eastAsia="zh-CN"/>
        </w:rPr>
      </w:pPr>
      <w:r>
        <w:rPr>
          <w:rFonts w:hint="eastAsia"/>
          <w:szCs w:val="22"/>
          <w:highlight w:val="none"/>
          <w:lang w:val="en-US" w:eastAsia="zh-CN"/>
        </w:rPr>
        <w:t>就符合安全与风险综合管理体系要求的重要性进行沟通；</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支持其他相关管理人员在其职责范围内证实其领导作用；</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指导并支持员工对安全与风险综合管理体系的有效性作出贡献；</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实施、评价并持续改进安全与风险综合管理体系；</w:t>
      </w:r>
    </w:p>
    <w:p>
      <w:pPr>
        <w:pStyle w:val="21"/>
        <w:numPr>
          <w:ilvl w:val="0"/>
          <w:numId w:val="39"/>
        </w:numPr>
        <w:ind w:left="420" w:leftChars="0" w:firstLine="0" w:firstLineChars="0"/>
        <w:rPr>
          <w:rFonts w:hint="default"/>
          <w:szCs w:val="22"/>
          <w:lang w:val="en-US" w:eastAsia="zh-CN"/>
        </w:rPr>
      </w:pPr>
      <w:r>
        <w:rPr>
          <w:rFonts w:hint="eastAsia"/>
          <w:szCs w:val="22"/>
          <w:lang w:val="en-US" w:eastAsia="zh-CN"/>
        </w:rPr>
        <w:t>确保安全与风险综合管理体系实现其预期结果。</w:t>
      </w:r>
    </w:p>
    <w:p>
      <w:pPr>
        <w:pStyle w:val="51"/>
        <w:bidi w:val="0"/>
        <w:ind w:left="0" w:leftChars="0" w:firstLine="0" w:firstLineChars="0"/>
        <w:rPr>
          <w:rFonts w:hint="eastAsia"/>
          <w:lang w:val="en-US" w:eastAsia="zh-CN"/>
        </w:rPr>
      </w:pPr>
      <w:bookmarkStart w:id="155" w:name="_Toc19968"/>
      <w:bookmarkStart w:id="156" w:name="_Toc23864"/>
      <w:bookmarkStart w:id="157" w:name="_Toc7386"/>
      <w:r>
        <w:rPr>
          <w:rFonts w:hint="eastAsia"/>
          <w:lang w:val="en-US" w:eastAsia="zh-CN"/>
        </w:rPr>
        <w:t>安全承诺</w:t>
      </w:r>
      <w:bookmarkEnd w:id="155"/>
      <w:bookmarkEnd w:id="156"/>
      <w:bookmarkEnd w:id="157"/>
    </w:p>
    <w:p>
      <w:pPr>
        <w:pStyle w:val="21"/>
        <w:rPr>
          <w:rFonts w:hint="eastAsia"/>
          <w:lang w:val="en-US" w:eastAsia="zh-CN"/>
        </w:rPr>
      </w:pPr>
      <w:r>
        <w:rPr>
          <w:rFonts w:hint="eastAsia"/>
          <w:lang w:val="en-US" w:eastAsia="zh-CN"/>
        </w:rPr>
        <w:t>企业应建立包括安全价值观、安全愿景、安全使命和安全目标等在内的安全承诺。</w:t>
      </w:r>
    </w:p>
    <w:p>
      <w:pPr>
        <w:pStyle w:val="21"/>
        <w:rPr>
          <w:rFonts w:hint="eastAsia"/>
          <w:lang w:val="en-US" w:eastAsia="zh-CN"/>
        </w:rPr>
      </w:pPr>
      <w:r>
        <w:rPr>
          <w:rFonts w:hint="eastAsia"/>
          <w:lang w:val="en-US" w:eastAsia="zh-CN"/>
        </w:rPr>
        <w:t>安全承诺应：</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切合企业特点和实际，反映共同安全志向；</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明确安全问题在公司内部具有最高优先权；</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声明所有与企业安全有关的重要活动都追求卓越；</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含义清晰明了，并被全体员工和相关方所知晓和理解。</w:t>
      </w:r>
    </w:p>
    <w:p>
      <w:pPr>
        <w:pStyle w:val="21"/>
        <w:numPr>
          <w:ilvl w:val="0"/>
          <w:numId w:val="0"/>
        </w:numPr>
        <w:ind w:firstLine="420" w:firstLineChars="200"/>
        <w:rPr>
          <w:rFonts w:hint="eastAsia"/>
          <w:szCs w:val="22"/>
          <w:lang w:val="en-US" w:eastAsia="zh-CN"/>
        </w:rPr>
      </w:pPr>
      <w:r>
        <w:rPr>
          <w:rFonts w:hint="eastAsia"/>
          <w:lang w:val="en-US" w:eastAsia="zh-CN"/>
        </w:rPr>
        <w:t>领导者应对安全承诺做出有形的表率，并让各级管理者和员工切身感受到领导者对安全承诺的实践。</w:t>
      </w:r>
    </w:p>
    <w:p>
      <w:pPr>
        <w:pStyle w:val="21"/>
        <w:numPr>
          <w:ilvl w:val="0"/>
          <w:numId w:val="0"/>
        </w:numPr>
        <w:ind w:firstLine="420" w:firstLineChars="200"/>
        <w:rPr>
          <w:rFonts w:hint="eastAsia"/>
          <w:szCs w:val="22"/>
          <w:lang w:val="en-US" w:eastAsia="zh-CN"/>
        </w:rPr>
      </w:pPr>
      <w:r>
        <w:rPr>
          <w:rFonts w:hint="eastAsia"/>
          <w:lang w:val="en-US" w:eastAsia="zh-CN"/>
        </w:rPr>
        <w:t>各级管理者应对安全承诺的实施起到示范和推进作用，形成严谨的制度化工作方法，营造有益于安全的工作氛围，培育重视安全的工作态度。</w:t>
      </w:r>
    </w:p>
    <w:p>
      <w:pPr>
        <w:pStyle w:val="21"/>
        <w:numPr>
          <w:ilvl w:val="0"/>
          <w:numId w:val="0"/>
        </w:numPr>
        <w:ind w:left="420" w:leftChars="0"/>
        <w:rPr>
          <w:rFonts w:hint="eastAsia"/>
          <w:szCs w:val="22"/>
          <w:lang w:val="en-US" w:eastAsia="zh-CN"/>
        </w:rPr>
      </w:pPr>
      <w:r>
        <w:rPr>
          <w:rFonts w:hint="eastAsia"/>
          <w:lang w:val="en-US" w:eastAsia="zh-CN"/>
        </w:rPr>
        <w:t>员工应充分理解和接受企业的安全承诺，并结合岗位工作任务实践安全承诺。</w:t>
      </w:r>
    </w:p>
    <w:p>
      <w:pPr>
        <w:pStyle w:val="21"/>
        <w:rPr>
          <w:rFonts w:hint="eastAsia"/>
          <w:lang w:val="en-US" w:eastAsia="zh-CN"/>
        </w:rPr>
      </w:pPr>
      <w:r>
        <w:rPr>
          <w:rFonts w:hint="eastAsia"/>
          <w:lang w:val="en-US" w:eastAsia="zh-CN"/>
        </w:rPr>
        <w:t>企业应将自己的安全承诺传达到相关方。必要时应要求供应商、承包商等相关方提供相应的安全承诺。</w:t>
      </w:r>
    </w:p>
    <w:p>
      <w:pPr>
        <w:pStyle w:val="51"/>
        <w:bidi w:val="0"/>
        <w:ind w:left="0" w:leftChars="0" w:firstLine="0" w:firstLineChars="0"/>
        <w:rPr>
          <w:rFonts w:hint="default"/>
          <w:lang w:val="en-US" w:eastAsia="zh-CN"/>
        </w:rPr>
      </w:pPr>
      <w:bookmarkStart w:id="158" w:name="_Toc18767"/>
      <w:bookmarkStart w:id="159" w:name="_Toc25303"/>
      <w:r>
        <w:rPr>
          <w:rFonts w:hint="eastAsia"/>
          <w:lang w:val="en-US" w:eastAsia="zh-CN"/>
        </w:rPr>
        <w:t>机构设置</w:t>
      </w:r>
      <w:bookmarkEnd w:id="158"/>
      <w:bookmarkEnd w:id="159"/>
    </w:p>
    <w:p>
      <w:pPr>
        <w:pStyle w:val="21"/>
        <w:rPr>
          <w:rFonts w:hint="eastAsia"/>
          <w:szCs w:val="22"/>
          <w:lang w:val="en-US" w:eastAsia="zh-CN"/>
        </w:rPr>
      </w:pPr>
      <w:r>
        <w:rPr>
          <w:rFonts w:hint="eastAsia"/>
          <w:szCs w:val="22"/>
          <w:lang w:val="en-US" w:eastAsia="zh-CN"/>
        </w:rPr>
        <w:t>企业应依据法律法规要求、风险评估结果对机构设置进行需求识别。</w:t>
      </w:r>
    </w:p>
    <w:p>
      <w:pPr>
        <w:pStyle w:val="21"/>
        <w:rPr>
          <w:rFonts w:hint="eastAsia"/>
          <w:szCs w:val="22"/>
          <w:lang w:val="en-US" w:eastAsia="zh-CN"/>
        </w:rPr>
      </w:pPr>
      <w:r>
        <w:rPr>
          <w:rFonts w:hint="eastAsia"/>
          <w:szCs w:val="22"/>
          <w:lang w:val="en-US" w:eastAsia="zh-CN"/>
        </w:rPr>
        <w:t>企业应根据法律法规的要求配置相关管理机构，包括但不限于以下：</w:t>
      </w:r>
    </w:p>
    <w:p>
      <w:pPr>
        <w:pStyle w:val="21"/>
        <w:numPr>
          <w:ilvl w:val="0"/>
          <w:numId w:val="41"/>
        </w:numPr>
        <w:ind w:left="420" w:leftChars="0" w:firstLine="0" w:firstLineChars="0"/>
        <w:rPr>
          <w:rFonts w:hint="eastAsia"/>
          <w:szCs w:val="22"/>
          <w:lang w:val="en-US" w:eastAsia="zh-CN"/>
        </w:rPr>
      </w:pPr>
      <w:r>
        <w:rPr>
          <w:rFonts w:hint="eastAsia"/>
          <w:szCs w:val="22"/>
          <w:lang w:val="en-US" w:eastAsia="zh-CN"/>
        </w:rPr>
        <w:t xml:space="preserve">安全、质量、职业健康、环境保护、应急与合规等管理机构； </w:t>
      </w:r>
    </w:p>
    <w:p>
      <w:pPr>
        <w:pStyle w:val="21"/>
        <w:numPr>
          <w:ilvl w:val="0"/>
          <w:numId w:val="41"/>
        </w:numPr>
        <w:ind w:left="420" w:leftChars="0" w:firstLine="0" w:firstLineChars="0"/>
        <w:rPr>
          <w:rFonts w:hint="eastAsia"/>
          <w:szCs w:val="22"/>
          <w:lang w:val="en-US" w:eastAsia="zh-CN"/>
        </w:rPr>
      </w:pPr>
      <w:r>
        <w:rPr>
          <w:rFonts w:hint="eastAsia"/>
          <w:szCs w:val="22"/>
          <w:lang w:val="en-US" w:eastAsia="zh-CN"/>
        </w:rPr>
        <w:t xml:space="preserve">安全生产监督管理网络； </w:t>
      </w:r>
    </w:p>
    <w:p>
      <w:pPr>
        <w:pStyle w:val="21"/>
        <w:numPr>
          <w:ilvl w:val="0"/>
          <w:numId w:val="41"/>
        </w:numPr>
        <w:ind w:left="420" w:leftChars="0" w:firstLine="0" w:firstLineChars="0"/>
        <w:rPr>
          <w:rFonts w:hint="eastAsia"/>
          <w:szCs w:val="22"/>
          <w:lang w:val="en-US" w:eastAsia="zh-CN"/>
        </w:rPr>
      </w:pPr>
      <w:r>
        <w:rPr>
          <w:rFonts w:hint="eastAsia"/>
          <w:szCs w:val="22"/>
          <w:lang w:val="en-US" w:eastAsia="zh-CN"/>
        </w:rPr>
        <w:t xml:space="preserve">技术监督网络。 </w:t>
      </w:r>
    </w:p>
    <w:p>
      <w:pPr>
        <w:pStyle w:val="21"/>
        <w:rPr>
          <w:rFonts w:hint="eastAsia"/>
          <w:szCs w:val="22"/>
          <w:lang w:val="en-US" w:eastAsia="zh-CN"/>
        </w:rPr>
      </w:pPr>
      <w:r>
        <w:rPr>
          <w:rFonts w:hint="eastAsia"/>
          <w:szCs w:val="22"/>
          <w:lang w:val="en-US" w:eastAsia="zh-CN"/>
        </w:rPr>
        <w:t>企业应明确常设机构、临时机构的建立流程与职责及机构成员应具备的能力与要求。</w:t>
      </w:r>
    </w:p>
    <w:p>
      <w:pPr>
        <w:pStyle w:val="21"/>
        <w:rPr>
          <w:rFonts w:hint="eastAsia"/>
          <w:szCs w:val="22"/>
          <w:lang w:val="en-US" w:eastAsia="zh-CN"/>
        </w:rPr>
      </w:pPr>
      <w:r>
        <w:rPr>
          <w:rFonts w:hint="eastAsia"/>
          <w:szCs w:val="22"/>
          <w:lang w:val="en-US" w:eastAsia="zh-CN"/>
        </w:rPr>
        <w:t>企业应明确对机构履职的监管要求，定期/不定期评估机构的履职情况，将结果纳入考核。</w:t>
      </w:r>
    </w:p>
    <w:p>
      <w:pPr>
        <w:pStyle w:val="51"/>
        <w:bidi w:val="0"/>
        <w:ind w:left="0" w:leftChars="0" w:firstLine="0" w:firstLineChars="0"/>
        <w:rPr>
          <w:rFonts w:hint="default"/>
          <w:lang w:val="en-US" w:eastAsia="zh-CN"/>
        </w:rPr>
      </w:pPr>
      <w:bookmarkStart w:id="160" w:name="_Toc17001"/>
      <w:bookmarkStart w:id="161" w:name="_Toc9273"/>
      <w:r>
        <w:rPr>
          <w:rFonts w:hint="eastAsia"/>
          <w:lang w:val="en-US" w:eastAsia="zh-CN"/>
        </w:rPr>
        <w:t>人员配备</w:t>
      </w:r>
      <w:bookmarkEnd w:id="160"/>
      <w:bookmarkEnd w:id="161"/>
    </w:p>
    <w:p>
      <w:pPr>
        <w:pStyle w:val="21"/>
        <w:rPr>
          <w:rFonts w:hint="eastAsia"/>
          <w:lang w:val="en-US" w:eastAsia="zh-CN"/>
        </w:rPr>
      </w:pPr>
      <w:r>
        <w:rPr>
          <w:rFonts w:hint="eastAsia"/>
          <w:lang w:val="en-US" w:eastAsia="zh-CN"/>
        </w:rPr>
        <w:t>企业应以成文信息的形式明确与安全、风险管理岗位相适应的人员能力要求，其要求包括但不限于以下：</w:t>
      </w:r>
    </w:p>
    <w:p>
      <w:pPr>
        <w:pStyle w:val="21"/>
        <w:numPr>
          <w:ilvl w:val="0"/>
          <w:numId w:val="42"/>
        </w:numPr>
        <w:ind w:left="420" w:leftChars="0" w:firstLine="0" w:firstLineChars="0"/>
        <w:rPr>
          <w:rFonts w:hint="eastAsia"/>
          <w:szCs w:val="22"/>
          <w:lang w:val="en-US" w:eastAsia="zh-CN"/>
        </w:rPr>
      </w:pPr>
      <w:r>
        <w:rPr>
          <w:rFonts w:hint="eastAsia"/>
          <w:szCs w:val="22"/>
          <w:lang w:val="en-US" w:eastAsia="zh-CN"/>
        </w:rPr>
        <w:t>教育程度；</w:t>
      </w:r>
    </w:p>
    <w:p>
      <w:pPr>
        <w:pStyle w:val="21"/>
        <w:numPr>
          <w:ilvl w:val="0"/>
          <w:numId w:val="42"/>
        </w:numPr>
        <w:ind w:left="420" w:leftChars="0" w:firstLine="0" w:firstLineChars="0"/>
        <w:rPr>
          <w:rFonts w:hint="eastAsia"/>
          <w:szCs w:val="22"/>
          <w:lang w:val="en-US" w:eastAsia="zh-CN"/>
        </w:rPr>
      </w:pPr>
      <w:r>
        <w:rPr>
          <w:rFonts w:hint="eastAsia"/>
          <w:szCs w:val="22"/>
          <w:lang w:val="en-US" w:eastAsia="zh-CN"/>
        </w:rPr>
        <w:t>工作经验；</w:t>
      </w:r>
    </w:p>
    <w:p>
      <w:pPr>
        <w:pStyle w:val="21"/>
        <w:numPr>
          <w:ilvl w:val="0"/>
          <w:numId w:val="42"/>
        </w:numPr>
        <w:ind w:left="420" w:leftChars="0" w:firstLine="0" w:firstLineChars="0"/>
        <w:rPr>
          <w:rFonts w:hint="eastAsia"/>
          <w:szCs w:val="22"/>
          <w:lang w:val="en-US" w:eastAsia="zh-CN"/>
        </w:rPr>
      </w:pPr>
      <w:r>
        <w:rPr>
          <w:rFonts w:hint="eastAsia"/>
          <w:szCs w:val="22"/>
          <w:lang w:val="en-US" w:eastAsia="zh-CN"/>
        </w:rPr>
        <w:t>培训规定；</w:t>
      </w:r>
    </w:p>
    <w:p>
      <w:pPr>
        <w:pStyle w:val="21"/>
        <w:numPr>
          <w:ilvl w:val="0"/>
          <w:numId w:val="42"/>
        </w:numPr>
        <w:ind w:left="420" w:leftChars="0" w:firstLine="0" w:firstLineChars="0"/>
        <w:rPr>
          <w:rFonts w:hint="default"/>
          <w:szCs w:val="22"/>
          <w:lang w:val="en-US" w:eastAsia="zh-CN"/>
        </w:rPr>
      </w:pPr>
      <w:r>
        <w:rPr>
          <w:rFonts w:hint="eastAsia"/>
          <w:szCs w:val="22"/>
          <w:lang w:val="en-US" w:eastAsia="zh-CN"/>
        </w:rPr>
        <w:t>任职资格。</w:t>
      </w:r>
    </w:p>
    <w:p>
      <w:pPr>
        <w:pStyle w:val="21"/>
        <w:numPr>
          <w:ilvl w:val="0"/>
          <w:numId w:val="0"/>
        </w:numPr>
        <w:ind w:firstLine="420" w:firstLineChars="200"/>
        <w:rPr>
          <w:rFonts w:hint="eastAsia"/>
          <w:szCs w:val="22"/>
          <w:lang w:val="en-US" w:eastAsia="zh-CN"/>
        </w:rPr>
      </w:pPr>
      <w:r>
        <w:rPr>
          <w:rFonts w:hint="eastAsia"/>
          <w:szCs w:val="22"/>
          <w:lang w:val="en-US" w:eastAsia="zh-CN"/>
        </w:rPr>
        <w:t>各层次管理者应使与安全、风险有关的人员意识到：安全与风险方针和目标指标的重要性，对安全与风险综合管理体系有效性的贡献，偏离安全与风险综合管理体系要求的后果。</w:t>
      </w:r>
    </w:p>
    <w:p>
      <w:pPr>
        <w:pStyle w:val="21"/>
        <w:numPr>
          <w:ilvl w:val="0"/>
          <w:numId w:val="0"/>
        </w:numPr>
        <w:ind w:firstLine="420" w:firstLineChars="200"/>
        <w:rPr>
          <w:rFonts w:hint="default"/>
          <w:szCs w:val="22"/>
          <w:lang w:val="en-US" w:eastAsia="zh-CN"/>
        </w:rPr>
      </w:pPr>
      <w:r>
        <w:rPr>
          <w:rFonts w:hint="eastAsia"/>
          <w:szCs w:val="22"/>
          <w:lang w:val="en-US" w:eastAsia="zh-CN"/>
        </w:rPr>
        <w:t>企业应建立员工考核制度，规定考核内容、标准、方式、频次，并将考核结果作为人力资源管理评价和安全与风险综合管理体系改进的依据。</w:t>
      </w:r>
    </w:p>
    <w:p>
      <w:pPr>
        <w:pStyle w:val="51"/>
        <w:bidi w:val="0"/>
        <w:ind w:left="0" w:leftChars="0" w:firstLine="0" w:firstLineChars="0"/>
        <w:rPr>
          <w:rFonts w:hint="default"/>
          <w:lang w:val="en-US" w:eastAsia="zh-CN"/>
        </w:rPr>
      </w:pPr>
      <w:bookmarkStart w:id="162" w:name="_Toc4121"/>
      <w:bookmarkStart w:id="163" w:name="_Toc2326"/>
      <w:bookmarkStart w:id="164" w:name="_Toc22788"/>
      <w:bookmarkStart w:id="165" w:name="_Toc27774"/>
      <w:r>
        <w:rPr>
          <w:rFonts w:hint="default"/>
          <w:lang w:val="en-US" w:eastAsia="zh-CN"/>
        </w:rPr>
        <w:t>职责权限</w:t>
      </w:r>
      <w:bookmarkEnd w:id="162"/>
      <w:bookmarkEnd w:id="163"/>
      <w:bookmarkEnd w:id="164"/>
    </w:p>
    <w:p>
      <w:pPr>
        <w:pStyle w:val="21"/>
        <w:rPr>
          <w:rFonts w:hint="eastAsia"/>
          <w:lang w:val="en-US" w:eastAsia="zh-CN"/>
        </w:rPr>
      </w:pPr>
      <w:r>
        <w:rPr>
          <w:rFonts w:hint="eastAsia"/>
          <w:lang w:val="en-US" w:eastAsia="zh-CN"/>
        </w:rPr>
        <w:t>最高管理者应确保在企业内部分配并沟通相关角色的职责和权限。</w:t>
      </w:r>
    </w:p>
    <w:p>
      <w:pPr>
        <w:pStyle w:val="21"/>
        <w:rPr>
          <w:rFonts w:hint="eastAsia"/>
          <w:lang w:val="en-US" w:eastAsia="zh-CN"/>
        </w:rPr>
      </w:pPr>
      <w:r>
        <w:rPr>
          <w:rFonts w:hint="eastAsia"/>
          <w:lang w:val="en-US" w:eastAsia="zh-CN"/>
        </w:rPr>
        <w:t>最高管理者应对下列事项分配职责和权限：</w:t>
      </w:r>
    </w:p>
    <w:p>
      <w:pPr>
        <w:pStyle w:val="21"/>
        <w:numPr>
          <w:ilvl w:val="0"/>
          <w:numId w:val="43"/>
        </w:numPr>
        <w:ind w:left="420" w:leftChars="0" w:firstLine="0" w:firstLineChars="0"/>
        <w:rPr>
          <w:rFonts w:hint="eastAsia"/>
          <w:szCs w:val="22"/>
          <w:lang w:val="en-US" w:eastAsia="zh-CN"/>
        </w:rPr>
      </w:pPr>
      <w:r>
        <w:rPr>
          <w:rFonts w:hint="eastAsia"/>
          <w:szCs w:val="22"/>
          <w:lang w:val="en-US" w:eastAsia="zh-CN"/>
        </w:rPr>
        <w:t>确保安全与风险综合管理体系符合本标准的要求；</w:t>
      </w:r>
    </w:p>
    <w:p>
      <w:pPr>
        <w:pStyle w:val="21"/>
        <w:numPr>
          <w:ilvl w:val="0"/>
          <w:numId w:val="43"/>
        </w:numPr>
        <w:ind w:left="420" w:leftChars="0" w:firstLine="0" w:firstLineChars="0"/>
        <w:rPr>
          <w:rFonts w:hint="default"/>
          <w:szCs w:val="22"/>
          <w:lang w:val="en-US" w:eastAsia="zh-CN"/>
        </w:rPr>
      </w:pPr>
      <w:r>
        <w:rPr>
          <w:rFonts w:hint="eastAsia"/>
          <w:szCs w:val="22"/>
          <w:lang w:val="en-US" w:eastAsia="zh-CN"/>
        </w:rPr>
        <w:t>向最高管理者报告安全与风险综合管理体系的绩效，包括安全绩效与风险管控成果。</w:t>
      </w:r>
    </w:p>
    <w:p>
      <w:pPr>
        <w:pStyle w:val="51"/>
        <w:bidi w:val="0"/>
        <w:ind w:left="0" w:leftChars="0" w:firstLine="0" w:firstLineChars="0"/>
        <w:rPr>
          <w:rFonts w:hint="default"/>
          <w:lang w:val="en-US" w:eastAsia="zh-CN"/>
        </w:rPr>
      </w:pPr>
      <w:bookmarkStart w:id="166" w:name="_Toc6420"/>
      <w:bookmarkStart w:id="167" w:name="_Toc22380"/>
      <w:r>
        <w:rPr>
          <w:rFonts w:hint="default"/>
          <w:lang w:val="en-US" w:eastAsia="zh-CN"/>
        </w:rPr>
        <w:t>能力</w:t>
      </w:r>
      <w:bookmarkEnd w:id="165"/>
      <w:r>
        <w:rPr>
          <w:rFonts w:hint="eastAsia"/>
          <w:lang w:val="en-US" w:eastAsia="zh-CN"/>
        </w:rPr>
        <w:t>意识</w:t>
      </w:r>
      <w:bookmarkEnd w:id="166"/>
      <w:bookmarkEnd w:id="167"/>
    </w:p>
    <w:p>
      <w:pPr>
        <w:pStyle w:val="51"/>
        <w:numPr>
          <w:ilvl w:val="1"/>
          <w:numId w:val="0"/>
        </w:numPr>
        <w:bidi w:val="0"/>
        <w:ind w:leftChars="0"/>
        <w:rPr>
          <w:rFonts w:hint="eastAsia"/>
          <w:lang w:val="en-US" w:eastAsia="zh-CN"/>
        </w:rPr>
      </w:pPr>
      <w:bookmarkStart w:id="168" w:name="_Toc28213"/>
      <w:bookmarkStart w:id="169" w:name="_Toc12029"/>
      <w:bookmarkStart w:id="170" w:name="_Toc14396"/>
      <w:r>
        <w:rPr>
          <w:rFonts w:hint="eastAsia"/>
          <w:lang w:val="en-US" w:eastAsia="zh-CN"/>
        </w:rPr>
        <w:t>7.6.1能力</w:t>
      </w:r>
      <w:bookmarkEnd w:id="168"/>
      <w:bookmarkEnd w:id="169"/>
      <w:bookmarkEnd w:id="170"/>
    </w:p>
    <w:p>
      <w:pPr>
        <w:pStyle w:val="21"/>
        <w:rPr>
          <w:rFonts w:hint="eastAsia"/>
          <w:lang w:val="en-US" w:eastAsia="zh-CN"/>
        </w:rPr>
      </w:pPr>
      <w:r>
        <w:rPr>
          <w:rFonts w:hint="eastAsia"/>
          <w:lang w:val="en-US" w:eastAsia="zh-CN"/>
        </w:rPr>
        <w:t>企业应提升员工安全生产风险知识和技能，使其胜任工作。</w:t>
      </w:r>
    </w:p>
    <w:p>
      <w:pPr>
        <w:pStyle w:val="21"/>
        <w:rPr>
          <w:rFonts w:hint="eastAsia"/>
          <w:lang w:val="en-US" w:eastAsia="zh-CN"/>
        </w:rPr>
      </w:pPr>
      <w:r>
        <w:rPr>
          <w:rFonts w:hint="eastAsia"/>
          <w:lang w:val="en-US" w:eastAsia="zh-CN"/>
        </w:rPr>
        <w:t>企业应：</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确定在其控制下工作的人员所需具备的能力，这些人员从事的工作影响安全与风险综合管理体系绩效和有效性；</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基于适当的教育、培训或经验，确保这些人员是胜任的；</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适用时，采取措施以获得所需的能力，并评价措施的有效性；</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保留适当的成文信息，作为人员能力的证据。</w:t>
      </w:r>
    </w:p>
    <w:p>
      <w:pPr>
        <w:pStyle w:val="21"/>
        <w:rPr>
          <w:rFonts w:hint="default"/>
          <w:lang w:val="en-US" w:eastAsia="zh-CN"/>
        </w:rPr>
      </w:pPr>
      <w:r>
        <w:rPr>
          <w:rFonts w:hint="eastAsia"/>
          <w:lang w:val="en-US" w:eastAsia="zh-CN"/>
        </w:rPr>
        <w:t>注：适用措施可包括对在职人员进行培训、辅导或重新分配工作，或者聘用、外包胜任的人员。</w:t>
      </w:r>
    </w:p>
    <w:p>
      <w:pPr>
        <w:pStyle w:val="51"/>
        <w:numPr>
          <w:ilvl w:val="1"/>
          <w:numId w:val="0"/>
        </w:numPr>
        <w:bidi w:val="0"/>
        <w:ind w:leftChars="0"/>
        <w:rPr>
          <w:rFonts w:hint="eastAsia"/>
          <w:lang w:val="en-US" w:eastAsia="zh-CN"/>
        </w:rPr>
      </w:pPr>
      <w:bookmarkStart w:id="171" w:name="_Toc28002"/>
      <w:bookmarkStart w:id="172" w:name="_Toc8903"/>
      <w:bookmarkStart w:id="173" w:name="_Toc9117"/>
      <w:r>
        <w:rPr>
          <w:rFonts w:hint="eastAsia"/>
          <w:lang w:val="en-US" w:eastAsia="zh-CN"/>
        </w:rPr>
        <w:t>7.6.2意识</w:t>
      </w:r>
      <w:bookmarkEnd w:id="171"/>
      <w:bookmarkEnd w:id="172"/>
      <w:bookmarkEnd w:id="173"/>
    </w:p>
    <w:p>
      <w:pPr>
        <w:pStyle w:val="21"/>
        <w:rPr>
          <w:rFonts w:hint="eastAsia"/>
          <w:lang w:val="en-US" w:eastAsia="zh-CN"/>
        </w:rPr>
      </w:pPr>
      <w:r>
        <w:rPr>
          <w:rFonts w:hint="eastAsia"/>
          <w:lang w:val="en-US" w:eastAsia="zh-CN"/>
        </w:rPr>
        <w:t>企业应提升员工安全生产风险控制意识，确保在其控制下工作的人员知晓：</w:t>
      </w:r>
    </w:p>
    <w:p>
      <w:pPr>
        <w:pStyle w:val="21"/>
        <w:numPr>
          <w:ilvl w:val="0"/>
          <w:numId w:val="45"/>
        </w:numPr>
        <w:ind w:left="420" w:leftChars="0" w:firstLine="0" w:firstLineChars="0"/>
        <w:rPr>
          <w:rFonts w:hint="eastAsia"/>
          <w:szCs w:val="22"/>
          <w:lang w:val="en-US" w:eastAsia="zh-CN"/>
        </w:rPr>
      </w:pPr>
      <w:r>
        <w:rPr>
          <w:rFonts w:hint="eastAsia"/>
          <w:szCs w:val="22"/>
          <w:lang w:val="en-US" w:eastAsia="zh-CN"/>
        </w:rPr>
        <w:t>安全与风险方针；</w:t>
      </w:r>
    </w:p>
    <w:p>
      <w:pPr>
        <w:pStyle w:val="21"/>
        <w:numPr>
          <w:ilvl w:val="0"/>
          <w:numId w:val="45"/>
        </w:numPr>
        <w:ind w:left="420" w:leftChars="0" w:firstLine="0" w:firstLineChars="0"/>
        <w:rPr>
          <w:rFonts w:hint="eastAsia"/>
          <w:szCs w:val="22"/>
          <w:lang w:val="en-US" w:eastAsia="zh-CN"/>
        </w:rPr>
      </w:pPr>
      <w:r>
        <w:rPr>
          <w:rFonts w:hint="eastAsia"/>
          <w:szCs w:val="22"/>
          <w:lang w:val="en-US" w:eastAsia="zh-CN"/>
        </w:rPr>
        <w:t>相关的安全与风险目标指标；</w:t>
      </w:r>
    </w:p>
    <w:p>
      <w:pPr>
        <w:pStyle w:val="21"/>
        <w:numPr>
          <w:ilvl w:val="0"/>
          <w:numId w:val="45"/>
        </w:numPr>
        <w:ind w:left="420" w:leftChars="0" w:firstLine="0" w:firstLineChars="0"/>
        <w:rPr>
          <w:rFonts w:hint="eastAsia"/>
          <w:szCs w:val="22"/>
          <w:lang w:val="en-US" w:eastAsia="zh-CN"/>
        </w:rPr>
      </w:pPr>
      <w:r>
        <w:rPr>
          <w:rFonts w:hint="eastAsia"/>
          <w:szCs w:val="22"/>
          <w:lang w:val="en-US" w:eastAsia="zh-CN"/>
        </w:rPr>
        <w:t>他们对安全与风险综合管理体系有效性的贡献，包括改进绩效的益处；</w:t>
      </w:r>
    </w:p>
    <w:p>
      <w:pPr>
        <w:pStyle w:val="21"/>
        <w:numPr>
          <w:ilvl w:val="0"/>
          <w:numId w:val="45"/>
        </w:numPr>
        <w:ind w:left="420" w:leftChars="0" w:firstLine="0" w:firstLineChars="0"/>
        <w:rPr>
          <w:rFonts w:hint="default"/>
          <w:szCs w:val="22"/>
          <w:lang w:val="en-US" w:eastAsia="zh-CN"/>
        </w:rPr>
      </w:pPr>
      <w:r>
        <w:rPr>
          <w:rFonts w:hint="eastAsia"/>
          <w:szCs w:val="22"/>
          <w:lang w:val="en-US" w:eastAsia="zh-CN"/>
        </w:rPr>
        <w:t>不符合安全与风险综合管理体系要求的后果。</w:t>
      </w:r>
    </w:p>
    <w:p>
      <w:pPr>
        <w:pStyle w:val="51"/>
        <w:bidi w:val="0"/>
        <w:ind w:left="0" w:leftChars="0" w:firstLine="0" w:firstLineChars="0"/>
        <w:rPr>
          <w:rFonts w:hint="default"/>
          <w:lang w:val="en-US" w:eastAsia="zh-CN"/>
        </w:rPr>
      </w:pPr>
      <w:bookmarkStart w:id="174" w:name="_Toc23647"/>
      <w:bookmarkStart w:id="175" w:name="_Toc14980"/>
      <w:bookmarkStart w:id="176" w:name="_Toc14512"/>
      <w:r>
        <w:rPr>
          <w:rFonts w:hint="default"/>
          <w:lang w:val="en-US" w:eastAsia="zh-CN"/>
        </w:rPr>
        <w:t>信息交流</w:t>
      </w:r>
      <w:bookmarkEnd w:id="174"/>
      <w:bookmarkEnd w:id="175"/>
      <w:bookmarkEnd w:id="176"/>
    </w:p>
    <w:p>
      <w:pPr>
        <w:pStyle w:val="21"/>
        <w:rPr>
          <w:rFonts w:hint="eastAsia"/>
          <w:lang w:val="en-US" w:eastAsia="zh-CN"/>
        </w:rPr>
      </w:pPr>
      <w:r>
        <w:rPr>
          <w:rFonts w:hint="eastAsia"/>
          <w:lang w:val="en-US" w:eastAsia="zh-CN"/>
        </w:rPr>
        <w:t>企业应建立、实施并保持和安全与风险综合管理体系有关的内部与外部信息交流所需的过程，包括：</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内容；</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时机；</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对象；</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方式。</w:t>
      </w:r>
    </w:p>
    <w:p>
      <w:pPr>
        <w:pStyle w:val="21"/>
        <w:rPr>
          <w:rFonts w:hint="eastAsia"/>
          <w:lang w:val="en-US" w:eastAsia="zh-CN"/>
        </w:rPr>
      </w:pPr>
      <w:r>
        <w:rPr>
          <w:rFonts w:hint="eastAsia"/>
          <w:lang w:val="en-US" w:eastAsia="zh-CN"/>
        </w:rPr>
        <w:t>策划信息交流过程时，企业应：</w:t>
      </w:r>
    </w:p>
    <w:p>
      <w:pPr>
        <w:pStyle w:val="21"/>
        <w:rPr>
          <w:rFonts w:hint="eastAsia"/>
          <w:lang w:val="en-US" w:eastAsia="zh-CN"/>
        </w:rPr>
      </w:pPr>
      <w:r>
        <w:rPr>
          <w:rFonts w:hint="eastAsia"/>
          <w:lang w:val="en-US" w:eastAsia="zh-CN"/>
        </w:rPr>
        <w:t>——必须考虑其合规义务；</w:t>
      </w:r>
    </w:p>
    <w:p>
      <w:pPr>
        <w:pStyle w:val="21"/>
        <w:rPr>
          <w:rFonts w:hint="eastAsia"/>
          <w:lang w:val="en-US" w:eastAsia="zh-CN"/>
        </w:rPr>
      </w:pPr>
      <w:r>
        <w:rPr>
          <w:rFonts w:hint="eastAsia"/>
          <w:lang w:val="en-US" w:eastAsia="zh-CN"/>
        </w:rPr>
        <w:t>——确保所交流的安全信息、风险信息和安全与风险综合管理体系形成的信息一致且真实可信。</w:t>
      </w:r>
    </w:p>
    <w:p>
      <w:pPr>
        <w:pStyle w:val="21"/>
        <w:rPr>
          <w:rFonts w:hint="eastAsia"/>
          <w:lang w:val="en-US" w:eastAsia="zh-CN"/>
        </w:rPr>
      </w:pPr>
      <w:r>
        <w:rPr>
          <w:rFonts w:hint="eastAsia"/>
          <w:lang w:val="en-US" w:eastAsia="zh-CN"/>
        </w:rPr>
        <w:t>企业应对其安全与风险综合管理体系相关的信息交流做出响应。</w:t>
      </w:r>
    </w:p>
    <w:p>
      <w:pPr>
        <w:pStyle w:val="21"/>
        <w:rPr>
          <w:rFonts w:hint="default"/>
          <w:lang w:val="en-US" w:eastAsia="zh-CN"/>
        </w:rPr>
      </w:pPr>
      <w:r>
        <w:rPr>
          <w:rFonts w:hint="eastAsia"/>
          <w:lang w:val="en-US" w:eastAsia="zh-CN"/>
        </w:rPr>
        <w:t>适当时，企业应保留成文信息，作为其信息交流的证据。</w:t>
      </w:r>
    </w:p>
    <w:p>
      <w:pPr>
        <w:pStyle w:val="94"/>
        <w:rPr>
          <w:rFonts w:hint="eastAsia"/>
          <w:szCs w:val="22"/>
          <w:lang w:val="en-US" w:eastAsia="zh-CN"/>
        </w:rPr>
      </w:pPr>
      <w:bookmarkStart w:id="177" w:name="_Toc24592"/>
      <w:bookmarkStart w:id="178" w:name="_Toc12753"/>
      <w:bookmarkStart w:id="179" w:name="_Toc7853"/>
      <w:r>
        <w:rPr>
          <w:rFonts w:hint="eastAsia"/>
          <w:szCs w:val="22"/>
          <w:lang w:val="en-US" w:eastAsia="zh-CN"/>
        </w:rPr>
        <w:t>供应商/分包方管理</w:t>
      </w:r>
      <w:bookmarkEnd w:id="177"/>
      <w:bookmarkEnd w:id="178"/>
    </w:p>
    <w:p>
      <w:pPr>
        <w:pStyle w:val="51"/>
        <w:bidi w:val="0"/>
        <w:ind w:left="0" w:leftChars="0" w:firstLine="0" w:firstLineChars="0"/>
        <w:rPr>
          <w:rFonts w:hint="eastAsia"/>
          <w:lang w:val="en-US" w:eastAsia="zh-CN"/>
        </w:rPr>
      </w:pPr>
      <w:bookmarkStart w:id="180" w:name="_Toc4232"/>
      <w:bookmarkStart w:id="181" w:name="_Toc10707"/>
      <w:bookmarkStart w:id="182" w:name="_Toc11108"/>
      <w:r>
        <w:rPr>
          <w:rFonts w:hint="eastAsia"/>
          <w:lang w:val="en-US" w:eastAsia="zh-CN"/>
        </w:rPr>
        <w:t>供应商管理</w:t>
      </w:r>
      <w:bookmarkEnd w:id="180"/>
      <w:bookmarkEnd w:id="181"/>
      <w:bookmarkEnd w:id="182"/>
    </w:p>
    <w:p>
      <w:pPr>
        <w:pStyle w:val="51"/>
        <w:numPr>
          <w:ilvl w:val="0"/>
          <w:numId w:val="0"/>
        </w:numPr>
        <w:tabs>
          <w:tab w:val="center" w:pos="4201"/>
          <w:tab w:val="right" w:leader="dot" w:pos="9298"/>
        </w:tabs>
        <w:rPr>
          <w:rFonts w:hint="eastAsia"/>
          <w:highlight w:val="none"/>
          <w:lang w:val="en-US" w:eastAsia="zh-CN"/>
        </w:rPr>
      </w:pPr>
      <w:bookmarkStart w:id="183" w:name="_Toc12875"/>
      <w:bookmarkStart w:id="184" w:name="_Toc1019"/>
      <w:r>
        <w:rPr>
          <w:rFonts w:hint="eastAsia"/>
          <w:highlight w:val="none"/>
          <w:lang w:val="en-US" w:eastAsia="zh-CN"/>
        </w:rPr>
        <w:t>8.1.1供应商选择</w:t>
      </w:r>
      <w:bookmarkEnd w:id="183"/>
      <w:bookmarkEnd w:id="184"/>
    </w:p>
    <w:p>
      <w:pPr>
        <w:pStyle w:val="21"/>
        <w:rPr>
          <w:rFonts w:hint="eastAsia"/>
          <w:lang w:val="en-US" w:eastAsia="zh-CN"/>
        </w:rPr>
      </w:pPr>
      <w:r>
        <w:rPr>
          <w:rFonts w:hint="eastAsia"/>
          <w:lang w:val="en-US" w:eastAsia="zh-CN"/>
        </w:rPr>
        <w:t>企业应建立供应商管理制度，以管理与供应商选择相关的风险。</w:t>
      </w:r>
    </w:p>
    <w:p>
      <w:pPr>
        <w:pStyle w:val="21"/>
        <w:rPr>
          <w:rFonts w:hint="eastAsia"/>
          <w:lang w:val="en-US" w:eastAsia="zh-CN"/>
        </w:rPr>
      </w:pPr>
      <w:r>
        <w:rPr>
          <w:rFonts w:hint="eastAsia"/>
          <w:lang w:val="en-US" w:eastAsia="zh-CN"/>
        </w:rPr>
        <w:t>选择内容包括：</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合法经营资质；</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按期提供产品和质量保证能力；</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经验、信誉；</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产品在企业的使用和运行情况；</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价格、交货期、交付后的服务和技术支持能力；</w:t>
      </w:r>
    </w:p>
    <w:p>
      <w:pPr>
        <w:pStyle w:val="21"/>
        <w:numPr>
          <w:ilvl w:val="0"/>
          <w:numId w:val="47"/>
        </w:numPr>
        <w:ind w:left="420" w:leftChars="0" w:firstLine="0" w:firstLineChars="0"/>
        <w:rPr>
          <w:rFonts w:hint="default"/>
          <w:szCs w:val="22"/>
          <w:lang w:val="en-US" w:eastAsia="zh-CN"/>
        </w:rPr>
      </w:pPr>
      <w:r>
        <w:rPr>
          <w:rFonts w:hint="eastAsia"/>
          <w:szCs w:val="22"/>
          <w:lang w:val="en-US" w:eastAsia="zh-CN"/>
        </w:rPr>
        <w:t>供应商在产品生产过程中安健环的表现。</w:t>
      </w:r>
    </w:p>
    <w:p>
      <w:pPr>
        <w:pStyle w:val="21"/>
        <w:numPr>
          <w:ilvl w:val="0"/>
          <w:numId w:val="0"/>
        </w:numPr>
        <w:ind w:left="420" w:leftChars="0"/>
        <w:rPr>
          <w:rFonts w:hint="eastAsia"/>
          <w:szCs w:val="22"/>
          <w:lang w:val="en-US" w:eastAsia="zh-CN"/>
        </w:rPr>
      </w:pPr>
      <w:r>
        <w:rPr>
          <w:rFonts w:hint="eastAsia"/>
          <w:szCs w:val="22"/>
          <w:lang w:val="en-US" w:eastAsia="zh-CN"/>
        </w:rPr>
        <w:t>企业应根据供应商选择结果和招投标要求选择供应商。</w:t>
      </w:r>
    </w:p>
    <w:p>
      <w:pPr>
        <w:pStyle w:val="21"/>
        <w:numPr>
          <w:ilvl w:val="0"/>
          <w:numId w:val="0"/>
        </w:numPr>
        <w:ind w:left="420" w:leftChars="0"/>
        <w:rPr>
          <w:rFonts w:hint="eastAsia"/>
          <w:szCs w:val="22"/>
          <w:lang w:val="en-US" w:eastAsia="zh-CN"/>
        </w:rPr>
      </w:pPr>
      <w:r>
        <w:rPr>
          <w:rFonts w:hint="eastAsia"/>
          <w:szCs w:val="22"/>
          <w:lang w:val="en-US" w:eastAsia="zh-CN"/>
        </w:rPr>
        <w:t>企业应对供应商进入企业带来的风险进行识别并控制。</w:t>
      </w:r>
    </w:p>
    <w:p>
      <w:pPr>
        <w:pStyle w:val="21"/>
        <w:numPr>
          <w:ilvl w:val="0"/>
          <w:numId w:val="0"/>
        </w:numPr>
        <w:ind w:firstLine="420" w:firstLineChars="200"/>
        <w:rPr>
          <w:rFonts w:hint="eastAsia"/>
          <w:szCs w:val="22"/>
          <w:lang w:val="en-US" w:eastAsia="zh-CN"/>
        </w:rPr>
      </w:pPr>
      <w:r>
        <w:rPr>
          <w:rFonts w:hint="eastAsia"/>
          <w:szCs w:val="22"/>
          <w:lang w:val="en-US" w:eastAsia="zh-CN"/>
        </w:rPr>
        <w:t>企业应在供应商进入现场工作前进行全面的安全技术交底，并与供应商指定人员协调安健环事宜。</w:t>
      </w:r>
    </w:p>
    <w:p>
      <w:pPr>
        <w:pStyle w:val="21"/>
        <w:numPr>
          <w:ilvl w:val="0"/>
          <w:numId w:val="0"/>
        </w:numPr>
        <w:ind w:left="420" w:leftChars="0"/>
        <w:rPr>
          <w:rFonts w:hint="eastAsia"/>
          <w:szCs w:val="22"/>
          <w:lang w:val="en-US" w:eastAsia="zh-CN"/>
        </w:rPr>
      </w:pPr>
      <w:r>
        <w:rPr>
          <w:rFonts w:hint="eastAsia"/>
          <w:szCs w:val="22"/>
          <w:lang w:val="en-US" w:eastAsia="zh-CN"/>
        </w:rPr>
        <w:t>企业应对供应商现场工作进行过程控制。</w:t>
      </w:r>
    </w:p>
    <w:p>
      <w:pPr>
        <w:pStyle w:val="51"/>
        <w:numPr>
          <w:ilvl w:val="0"/>
          <w:numId w:val="0"/>
        </w:numPr>
        <w:tabs>
          <w:tab w:val="center" w:pos="4201"/>
          <w:tab w:val="right" w:leader="dot" w:pos="9298"/>
        </w:tabs>
        <w:rPr>
          <w:rFonts w:hint="eastAsia"/>
          <w:szCs w:val="21"/>
          <w:highlight w:val="none"/>
          <w:lang w:val="en-US" w:eastAsia="zh-CN"/>
        </w:rPr>
      </w:pPr>
      <w:bookmarkStart w:id="185" w:name="_Toc8831"/>
      <w:bookmarkStart w:id="186" w:name="_Toc14177"/>
      <w:r>
        <w:rPr>
          <w:rFonts w:hint="eastAsia"/>
          <w:szCs w:val="21"/>
          <w:highlight w:val="none"/>
          <w:lang w:val="en-US" w:eastAsia="zh-CN"/>
        </w:rPr>
        <w:t>8.1.2供应商评价</w:t>
      </w:r>
      <w:bookmarkEnd w:id="185"/>
      <w:bookmarkEnd w:id="186"/>
    </w:p>
    <w:p>
      <w:pPr>
        <w:pStyle w:val="21"/>
        <w:numPr>
          <w:ilvl w:val="0"/>
          <w:numId w:val="0"/>
        </w:numPr>
        <w:ind w:left="420" w:leftChars="0"/>
        <w:rPr>
          <w:rFonts w:hint="eastAsia"/>
          <w:szCs w:val="22"/>
          <w:lang w:val="en-US" w:eastAsia="zh-CN"/>
        </w:rPr>
      </w:pPr>
      <w:r>
        <w:rPr>
          <w:rFonts w:hint="eastAsia"/>
          <w:szCs w:val="22"/>
          <w:lang w:val="en-US" w:eastAsia="zh-CN"/>
        </w:rPr>
        <w:t>企业应建立供应商履约的评价标准，履约评价内容应包含：</w:t>
      </w:r>
    </w:p>
    <w:p>
      <w:pPr>
        <w:pStyle w:val="21"/>
        <w:numPr>
          <w:ilvl w:val="0"/>
          <w:numId w:val="48"/>
        </w:numPr>
        <w:ind w:left="420" w:leftChars="0" w:firstLine="0" w:firstLineChars="0"/>
        <w:rPr>
          <w:rFonts w:hint="eastAsia"/>
          <w:szCs w:val="22"/>
          <w:lang w:val="en-US" w:eastAsia="zh-CN"/>
        </w:rPr>
      </w:pPr>
      <w:r>
        <w:rPr>
          <w:rFonts w:hint="eastAsia"/>
          <w:szCs w:val="22"/>
          <w:lang w:val="en-US" w:eastAsia="zh-CN"/>
        </w:rPr>
        <w:t>产品技术标准；</w:t>
      </w:r>
    </w:p>
    <w:p>
      <w:pPr>
        <w:pStyle w:val="21"/>
        <w:numPr>
          <w:ilvl w:val="0"/>
          <w:numId w:val="48"/>
        </w:numPr>
        <w:ind w:left="420" w:leftChars="0" w:firstLine="0" w:firstLineChars="0"/>
        <w:rPr>
          <w:rFonts w:hint="eastAsia"/>
          <w:szCs w:val="22"/>
          <w:lang w:val="en-US" w:eastAsia="zh-CN"/>
        </w:rPr>
      </w:pPr>
      <w:r>
        <w:rPr>
          <w:rFonts w:hint="eastAsia"/>
          <w:szCs w:val="22"/>
          <w:lang w:val="en-US" w:eastAsia="zh-CN"/>
        </w:rPr>
        <w:t>产品质量标准；</w:t>
      </w:r>
    </w:p>
    <w:p>
      <w:pPr>
        <w:pStyle w:val="21"/>
        <w:numPr>
          <w:ilvl w:val="0"/>
          <w:numId w:val="48"/>
        </w:numPr>
        <w:ind w:left="420" w:leftChars="0" w:firstLine="0" w:firstLineChars="0"/>
        <w:rPr>
          <w:rFonts w:hint="eastAsia"/>
          <w:szCs w:val="22"/>
          <w:lang w:val="en-US" w:eastAsia="zh-CN"/>
        </w:rPr>
      </w:pPr>
      <w:r>
        <w:rPr>
          <w:rFonts w:hint="eastAsia"/>
          <w:szCs w:val="22"/>
          <w:lang w:val="en-US" w:eastAsia="zh-CN"/>
        </w:rPr>
        <w:t>附加及售后服务情况等。</w:t>
      </w:r>
    </w:p>
    <w:p>
      <w:pPr>
        <w:pStyle w:val="21"/>
        <w:numPr>
          <w:ilvl w:val="0"/>
          <w:numId w:val="0"/>
        </w:numPr>
        <w:ind w:left="420" w:leftChars="0"/>
        <w:rPr>
          <w:rFonts w:hint="eastAsia"/>
          <w:szCs w:val="22"/>
          <w:lang w:val="en-US" w:eastAsia="zh-CN"/>
        </w:rPr>
      </w:pPr>
      <w:r>
        <w:rPr>
          <w:rFonts w:hint="eastAsia"/>
          <w:szCs w:val="22"/>
          <w:lang w:val="en-US" w:eastAsia="zh-CN"/>
        </w:rPr>
        <w:t>供应商履约的评价结果应作为今后选择供应商的依据。</w:t>
      </w:r>
    </w:p>
    <w:p>
      <w:pPr>
        <w:pStyle w:val="21"/>
        <w:numPr>
          <w:ilvl w:val="0"/>
          <w:numId w:val="0"/>
        </w:numPr>
        <w:ind w:left="420" w:leftChars="0"/>
        <w:rPr>
          <w:rFonts w:hint="default"/>
          <w:szCs w:val="22"/>
          <w:lang w:val="en-US" w:eastAsia="zh-CN"/>
        </w:rPr>
      </w:pPr>
      <w:r>
        <w:rPr>
          <w:rFonts w:hint="eastAsia"/>
          <w:lang w:val="en-US" w:eastAsia="zh-CN"/>
        </w:rPr>
        <w:t>企业应保留成文信息，作为供应商管理的证据。</w:t>
      </w:r>
    </w:p>
    <w:p>
      <w:pPr>
        <w:pStyle w:val="51"/>
        <w:bidi w:val="0"/>
        <w:ind w:left="0" w:leftChars="0" w:firstLine="0" w:firstLineChars="0"/>
        <w:rPr>
          <w:rFonts w:hint="eastAsia"/>
          <w:lang w:val="en-US" w:eastAsia="zh-CN"/>
        </w:rPr>
      </w:pPr>
      <w:bookmarkStart w:id="187" w:name="_Toc1542"/>
      <w:bookmarkStart w:id="188" w:name="_Toc15572"/>
      <w:r>
        <w:rPr>
          <w:rFonts w:hint="eastAsia"/>
          <w:lang w:val="en-US" w:eastAsia="zh-CN"/>
        </w:rPr>
        <w:t>分包方管理</w:t>
      </w:r>
      <w:bookmarkEnd w:id="187"/>
      <w:bookmarkEnd w:id="188"/>
    </w:p>
    <w:p>
      <w:pPr>
        <w:pStyle w:val="51"/>
        <w:numPr>
          <w:ilvl w:val="0"/>
          <w:numId w:val="0"/>
        </w:numPr>
        <w:bidi w:val="0"/>
        <w:ind w:leftChars="0"/>
        <w:rPr>
          <w:rFonts w:hint="eastAsia"/>
          <w:lang w:val="en-US" w:eastAsia="zh-CN"/>
        </w:rPr>
      </w:pPr>
      <w:bookmarkStart w:id="189" w:name="_Toc24870"/>
      <w:bookmarkStart w:id="190" w:name="_Toc24012"/>
      <w:r>
        <w:rPr>
          <w:rFonts w:hint="eastAsia"/>
          <w:lang w:val="en-US" w:eastAsia="zh-CN"/>
        </w:rPr>
        <w:t>8.2.1分包方选择</w:t>
      </w:r>
      <w:bookmarkEnd w:id="189"/>
      <w:bookmarkEnd w:id="190"/>
    </w:p>
    <w:p>
      <w:pPr>
        <w:pStyle w:val="21"/>
        <w:rPr>
          <w:rFonts w:hint="eastAsia"/>
          <w:lang w:val="en-US" w:eastAsia="zh-CN"/>
        </w:rPr>
      </w:pPr>
      <w:r>
        <w:rPr>
          <w:rFonts w:hint="eastAsia"/>
          <w:lang w:val="en-US" w:eastAsia="zh-CN"/>
        </w:rPr>
        <w:t>企业应建立分包方管理制度，对分包方进行选择和管理。</w:t>
      </w:r>
    </w:p>
    <w:p>
      <w:pPr>
        <w:pStyle w:val="21"/>
        <w:rPr>
          <w:rFonts w:hint="eastAsia"/>
          <w:lang w:val="en-US" w:eastAsia="zh-CN"/>
        </w:rPr>
      </w:pPr>
      <w:r>
        <w:rPr>
          <w:rFonts w:hint="eastAsia"/>
          <w:lang w:val="en-US" w:eastAsia="zh-CN"/>
        </w:rPr>
        <w:t>企业应按管理制度的要求对分包方进行评价和资质审查，评价与审查内容应包括：</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法律法规许可的经营许可和资质；</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分包方内部管理的规章制度；</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分包方在服务过程中的安健环表现；</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分包方员工培训与能力证明资料；</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分包方的保险证明资料，包括</w:t>
      </w:r>
      <w:r>
        <w:rPr>
          <w:rFonts w:hint="eastAsia" w:ascii="宋体" w:hAnsi="Times New Roman" w:eastAsia="宋体" w:cs="Times New Roman"/>
          <w:szCs w:val="22"/>
          <w:lang w:val="en-US" w:eastAsia="zh-CN"/>
        </w:rPr>
        <w:t>安全生产责任保险</w:t>
      </w:r>
      <w:r>
        <w:rPr>
          <w:rFonts w:hint="eastAsia" w:cs="Times New Roman"/>
          <w:szCs w:val="22"/>
          <w:lang w:val="en-US" w:eastAsia="zh-CN"/>
        </w:rPr>
        <w:t>、社会保险、工伤保险等</w:t>
      </w:r>
      <w:r>
        <w:rPr>
          <w:rFonts w:hint="eastAsia"/>
          <w:szCs w:val="22"/>
          <w:lang w:val="en-US" w:eastAsia="zh-CN"/>
        </w:rPr>
        <w:t>；</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分包方的工伤率、员工赔偿费用等资料；</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分包方工程业绩与社会信誉；</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人员结构、执业资格和素质；</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施工机具与设施；</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专业技术和施工管理水平；</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协作、配合、服务和抗风险能力。</w:t>
      </w:r>
    </w:p>
    <w:p>
      <w:pPr>
        <w:pStyle w:val="21"/>
        <w:numPr>
          <w:ilvl w:val="0"/>
          <w:numId w:val="0"/>
        </w:numPr>
        <w:ind w:left="420" w:leftChars="0"/>
        <w:rPr>
          <w:rFonts w:hint="eastAsia"/>
          <w:szCs w:val="22"/>
          <w:lang w:val="en-US" w:eastAsia="zh-CN"/>
        </w:rPr>
      </w:pPr>
      <w:r>
        <w:rPr>
          <w:rFonts w:hint="eastAsia"/>
          <w:szCs w:val="22"/>
          <w:lang w:val="en-US" w:eastAsia="zh-CN"/>
        </w:rPr>
        <w:t>企业在选择分包方时应考虑：</w:t>
      </w:r>
    </w:p>
    <w:p>
      <w:pPr>
        <w:pStyle w:val="21"/>
        <w:numPr>
          <w:ilvl w:val="0"/>
          <w:numId w:val="0"/>
        </w:numPr>
        <w:ind w:left="420" w:leftChars="0"/>
        <w:rPr>
          <w:rFonts w:hint="eastAsia"/>
          <w:szCs w:val="22"/>
          <w:lang w:val="en-US" w:eastAsia="zh-CN"/>
        </w:rPr>
      </w:pPr>
      <w:r>
        <w:rPr>
          <w:rFonts w:hint="eastAsia"/>
          <w:szCs w:val="22"/>
          <w:lang w:val="en-US" w:eastAsia="zh-CN"/>
        </w:rPr>
        <w:t>——分包方进入企业带来的风险和招投标要求；</w:t>
      </w:r>
    </w:p>
    <w:p>
      <w:pPr>
        <w:pStyle w:val="21"/>
        <w:numPr>
          <w:ilvl w:val="0"/>
          <w:numId w:val="0"/>
        </w:numPr>
        <w:ind w:left="420" w:leftChars="0"/>
        <w:rPr>
          <w:rFonts w:hint="eastAsia"/>
          <w:szCs w:val="22"/>
          <w:lang w:val="en-US" w:eastAsia="zh-CN"/>
        </w:rPr>
      </w:pPr>
      <w:r>
        <w:rPr>
          <w:rFonts w:hint="eastAsia"/>
          <w:szCs w:val="22"/>
          <w:lang w:val="en-US" w:eastAsia="zh-CN"/>
        </w:rPr>
        <w:t>——分包方的安健环资质、内部管理和业绩；</w:t>
      </w:r>
    </w:p>
    <w:p>
      <w:pPr>
        <w:pStyle w:val="21"/>
        <w:numPr>
          <w:ilvl w:val="0"/>
          <w:numId w:val="0"/>
        </w:numPr>
        <w:ind w:left="420" w:leftChars="0"/>
        <w:rPr>
          <w:rFonts w:hint="eastAsia"/>
          <w:szCs w:val="22"/>
          <w:lang w:val="en-US" w:eastAsia="zh-CN"/>
        </w:rPr>
      </w:pPr>
      <w:r>
        <w:rPr>
          <w:rFonts w:hint="eastAsia"/>
          <w:szCs w:val="22"/>
          <w:lang w:val="en-US" w:eastAsia="zh-CN"/>
        </w:rPr>
        <w:t>——分包方在企业的安健环表现；</w:t>
      </w:r>
    </w:p>
    <w:p>
      <w:pPr>
        <w:pStyle w:val="21"/>
        <w:numPr>
          <w:ilvl w:val="0"/>
          <w:numId w:val="0"/>
        </w:numPr>
        <w:ind w:left="420" w:leftChars="0"/>
        <w:rPr>
          <w:rFonts w:hint="eastAsia"/>
          <w:szCs w:val="22"/>
          <w:lang w:val="en-US" w:eastAsia="zh-CN"/>
        </w:rPr>
      </w:pPr>
      <w:r>
        <w:rPr>
          <w:rFonts w:hint="eastAsia"/>
          <w:szCs w:val="22"/>
          <w:lang w:val="en-US" w:eastAsia="zh-CN"/>
        </w:rPr>
        <w:t>——分包方遵守强制性要求的意愿和能力；</w:t>
      </w:r>
    </w:p>
    <w:p>
      <w:pPr>
        <w:pStyle w:val="21"/>
        <w:numPr>
          <w:ilvl w:val="0"/>
          <w:numId w:val="0"/>
        </w:numPr>
        <w:ind w:left="420" w:leftChars="0"/>
        <w:rPr>
          <w:rFonts w:hint="eastAsia"/>
          <w:szCs w:val="22"/>
          <w:lang w:val="en-US" w:eastAsia="zh-CN"/>
        </w:rPr>
      </w:pPr>
      <w:r>
        <w:rPr>
          <w:rFonts w:hint="eastAsia"/>
          <w:szCs w:val="22"/>
          <w:lang w:val="en-US" w:eastAsia="zh-CN"/>
        </w:rPr>
        <w:t>——分包方满足企业安健环要求的意愿和能力；</w:t>
      </w:r>
    </w:p>
    <w:p>
      <w:pPr>
        <w:pStyle w:val="21"/>
        <w:numPr>
          <w:ilvl w:val="0"/>
          <w:numId w:val="0"/>
        </w:numPr>
        <w:ind w:left="420" w:leftChars="0"/>
        <w:rPr>
          <w:rFonts w:hint="default"/>
          <w:szCs w:val="22"/>
          <w:lang w:val="en-US" w:eastAsia="zh-CN"/>
        </w:rPr>
      </w:pPr>
      <w:r>
        <w:rPr>
          <w:rFonts w:hint="eastAsia"/>
          <w:szCs w:val="22"/>
          <w:lang w:val="en-US" w:eastAsia="zh-CN"/>
        </w:rPr>
        <w:t>——分包方保险程序的充分性。</w:t>
      </w:r>
    </w:p>
    <w:p>
      <w:pPr>
        <w:pStyle w:val="21"/>
        <w:numPr>
          <w:ilvl w:val="0"/>
          <w:numId w:val="0"/>
        </w:numPr>
        <w:ind w:left="420" w:leftChars="0"/>
        <w:rPr>
          <w:rFonts w:hint="eastAsia"/>
          <w:szCs w:val="22"/>
          <w:lang w:val="en-US" w:eastAsia="zh-CN"/>
        </w:rPr>
      </w:pPr>
      <w:r>
        <w:rPr>
          <w:rFonts w:hint="eastAsia"/>
          <w:szCs w:val="22"/>
          <w:lang w:val="en-US" w:eastAsia="zh-CN"/>
        </w:rPr>
        <w:t>分包合同应依据总包合同的约定和工程需要订立，明确双方的安全责任，并经企业授权人员审核。</w:t>
      </w:r>
    </w:p>
    <w:p>
      <w:pPr>
        <w:pStyle w:val="21"/>
        <w:numPr>
          <w:ilvl w:val="0"/>
          <w:numId w:val="0"/>
        </w:numPr>
        <w:ind w:left="420" w:leftChars="0"/>
        <w:rPr>
          <w:rFonts w:hint="eastAsia"/>
          <w:lang w:val="en-US" w:eastAsia="zh-CN"/>
        </w:rPr>
      </w:pPr>
      <w:r>
        <w:rPr>
          <w:rFonts w:hint="eastAsia"/>
          <w:lang w:val="en-US" w:eastAsia="zh-CN"/>
        </w:rPr>
        <w:t>企业应保留成文信息，作为分包方选择的证据。</w:t>
      </w:r>
    </w:p>
    <w:p>
      <w:pPr>
        <w:pStyle w:val="51"/>
        <w:numPr>
          <w:ilvl w:val="0"/>
          <w:numId w:val="0"/>
        </w:numPr>
        <w:tabs>
          <w:tab w:val="center" w:pos="4201"/>
          <w:tab w:val="right" w:leader="dot" w:pos="9298"/>
        </w:tabs>
        <w:rPr>
          <w:rFonts w:hint="eastAsia"/>
          <w:highlight w:val="none"/>
          <w:lang w:val="en-US" w:eastAsia="zh-CN"/>
        </w:rPr>
      </w:pPr>
      <w:bookmarkStart w:id="191" w:name="_Toc13788"/>
      <w:bookmarkStart w:id="192" w:name="_Toc22690"/>
      <w:r>
        <w:rPr>
          <w:rFonts w:hint="eastAsia"/>
          <w:highlight w:val="none"/>
          <w:lang w:val="en-US" w:eastAsia="zh-CN"/>
        </w:rPr>
        <w:t>8.2.2分包方评价</w:t>
      </w:r>
      <w:bookmarkEnd w:id="191"/>
      <w:bookmarkEnd w:id="192"/>
    </w:p>
    <w:p>
      <w:pPr>
        <w:pStyle w:val="21"/>
        <w:numPr>
          <w:ilvl w:val="0"/>
          <w:numId w:val="0"/>
        </w:numPr>
        <w:ind w:left="420" w:leftChars="0"/>
        <w:rPr>
          <w:rFonts w:hint="eastAsia"/>
          <w:highlight w:val="none"/>
          <w:lang w:val="en-US" w:eastAsia="zh-CN"/>
        </w:rPr>
      </w:pPr>
      <w:r>
        <w:rPr>
          <w:rFonts w:hint="eastAsia"/>
          <w:highlight w:val="none"/>
          <w:lang w:val="en-US" w:eastAsia="zh-CN"/>
        </w:rPr>
        <w:t>企业应建立分包方评价制度，对分包方进行履约评价。评价内容应包括：</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分包方工程或服务所达到的技术、质量标准；</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分包方工程的服务水平；</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分包方工程的安健环表现；</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其他合同约定内容的履行情况。</w:t>
      </w:r>
    </w:p>
    <w:p>
      <w:pPr>
        <w:ind w:firstLine="420" w:firstLineChars="200"/>
      </w:pPr>
      <w:r>
        <w:rPr>
          <w:rFonts w:hint="eastAsia"/>
          <w:szCs w:val="22"/>
          <w:lang w:val="en-US" w:eastAsia="zh-CN"/>
        </w:rPr>
        <w:t>对分包方的履约评价应保存记录，并作为重新评价、选择分包方和改进分包管理的依据。</w:t>
      </w:r>
    </w:p>
    <w:p>
      <w:pPr>
        <w:pStyle w:val="94"/>
        <w:rPr>
          <w:rFonts w:hint="eastAsia"/>
          <w:szCs w:val="22"/>
          <w:highlight w:val="none"/>
          <w:lang w:val="en-US" w:eastAsia="zh-CN"/>
        </w:rPr>
      </w:pPr>
      <w:bookmarkStart w:id="193" w:name="_Toc24559"/>
      <w:bookmarkStart w:id="194" w:name="_Toc14806"/>
      <w:bookmarkStart w:id="195" w:name="_Toc1579"/>
      <w:r>
        <w:rPr>
          <w:rFonts w:hint="eastAsia"/>
          <w:szCs w:val="22"/>
          <w:highlight w:val="none"/>
          <w:lang w:val="en-US" w:eastAsia="zh-CN"/>
        </w:rPr>
        <w:t>施工机具管理</w:t>
      </w:r>
      <w:bookmarkEnd w:id="193"/>
      <w:bookmarkEnd w:id="194"/>
      <w:bookmarkEnd w:id="195"/>
    </w:p>
    <w:p>
      <w:pPr>
        <w:pStyle w:val="51"/>
        <w:bidi w:val="0"/>
        <w:ind w:left="0" w:leftChars="0" w:firstLine="0" w:firstLineChars="0"/>
        <w:rPr>
          <w:rFonts w:hint="eastAsia"/>
          <w:lang w:val="en-US" w:eastAsia="zh-CN"/>
        </w:rPr>
      </w:pPr>
      <w:bookmarkStart w:id="196" w:name="_Toc6600"/>
      <w:bookmarkStart w:id="197" w:name="_Toc8263"/>
      <w:r>
        <w:rPr>
          <w:rFonts w:hint="eastAsia"/>
          <w:lang w:val="en-US" w:eastAsia="zh-CN"/>
        </w:rPr>
        <w:t>需求识别</w:t>
      </w:r>
      <w:bookmarkEnd w:id="196"/>
      <w:bookmarkEnd w:id="197"/>
    </w:p>
    <w:p>
      <w:pPr>
        <w:pStyle w:val="21"/>
        <w:rPr>
          <w:rFonts w:hint="eastAsia"/>
          <w:lang w:val="en-US" w:eastAsia="zh-CN"/>
        </w:rPr>
      </w:pPr>
      <w:r>
        <w:rPr>
          <w:rFonts w:hint="eastAsia"/>
          <w:lang w:val="en-US" w:eastAsia="zh-CN"/>
        </w:rPr>
        <w:t>企业应识别工程施工所需的施工机具，并制定施工机具配备计划，经审批后组织实施。</w:t>
      </w:r>
    </w:p>
    <w:p>
      <w:pPr>
        <w:pStyle w:val="21"/>
        <w:rPr>
          <w:rFonts w:hint="eastAsia"/>
          <w:lang w:val="en-US" w:eastAsia="zh-CN"/>
        </w:rPr>
      </w:pPr>
      <w:r>
        <w:rPr>
          <w:rFonts w:hint="eastAsia"/>
          <w:lang w:val="en-US" w:eastAsia="zh-CN"/>
        </w:rPr>
        <w:t>需求识别</w:t>
      </w:r>
      <w:r>
        <w:rPr>
          <w:rFonts w:hint="eastAsia"/>
        </w:rPr>
        <w:t>应满足国家、行业</w:t>
      </w:r>
      <w:r>
        <w:rPr>
          <w:rFonts w:hint="eastAsia"/>
          <w:lang w:val="en-US" w:eastAsia="zh-CN"/>
        </w:rPr>
        <w:t>相关</w:t>
      </w:r>
      <w:r>
        <w:rPr>
          <w:rFonts w:hint="eastAsia"/>
        </w:rPr>
        <w:t>法律、法规、标准、规程的要求，并</w:t>
      </w:r>
      <w:r>
        <w:rPr>
          <w:rFonts w:hint="eastAsia"/>
          <w:lang w:val="en-US" w:eastAsia="zh-CN"/>
        </w:rPr>
        <w:t>覆盖：</w:t>
      </w:r>
    </w:p>
    <w:p>
      <w:pPr>
        <w:pStyle w:val="21"/>
        <w:numPr>
          <w:ilvl w:val="0"/>
          <w:numId w:val="51"/>
        </w:numPr>
        <w:ind w:left="420" w:leftChars="0" w:firstLine="0" w:firstLineChars="0"/>
        <w:rPr>
          <w:rFonts w:hint="eastAsia"/>
          <w:szCs w:val="22"/>
          <w:lang w:val="en-US" w:eastAsia="zh-CN"/>
        </w:rPr>
      </w:pPr>
      <w:r>
        <w:rPr>
          <w:rFonts w:hint="eastAsia"/>
          <w:szCs w:val="22"/>
          <w:lang w:val="en-US" w:eastAsia="zh-CN"/>
        </w:rPr>
        <w:t>生产作业内容；</w:t>
      </w:r>
    </w:p>
    <w:p>
      <w:pPr>
        <w:pStyle w:val="21"/>
        <w:numPr>
          <w:ilvl w:val="0"/>
          <w:numId w:val="51"/>
        </w:numPr>
        <w:ind w:left="420" w:leftChars="0" w:firstLine="0" w:firstLineChars="0"/>
        <w:rPr>
          <w:rFonts w:hint="eastAsia"/>
          <w:szCs w:val="22"/>
          <w:lang w:val="en-US" w:eastAsia="zh-CN"/>
        </w:rPr>
      </w:pPr>
      <w:r>
        <w:rPr>
          <w:rFonts w:hint="eastAsia"/>
          <w:szCs w:val="22"/>
          <w:lang w:val="en-US" w:eastAsia="zh-CN"/>
        </w:rPr>
        <w:t>操作人员；</w:t>
      </w:r>
    </w:p>
    <w:p>
      <w:pPr>
        <w:pStyle w:val="21"/>
        <w:numPr>
          <w:ilvl w:val="0"/>
          <w:numId w:val="51"/>
        </w:numPr>
        <w:ind w:left="420" w:leftChars="0" w:firstLine="0" w:firstLineChars="0"/>
        <w:rPr>
          <w:rFonts w:hint="eastAsia"/>
          <w:szCs w:val="22"/>
          <w:lang w:val="en-US" w:eastAsia="zh-CN"/>
        </w:rPr>
      </w:pPr>
      <w:r>
        <w:rPr>
          <w:rFonts w:hint="eastAsia"/>
          <w:szCs w:val="22"/>
          <w:lang w:val="en-US" w:eastAsia="zh-CN"/>
        </w:rPr>
        <w:t>周边作业环境。</w:t>
      </w:r>
    </w:p>
    <w:p>
      <w:pPr>
        <w:pStyle w:val="21"/>
        <w:rPr>
          <w:rFonts w:hint="eastAsia"/>
          <w:lang w:val="en-US" w:eastAsia="zh-CN"/>
        </w:rPr>
      </w:pPr>
      <w:r>
        <w:rPr>
          <w:rFonts w:hint="eastAsia"/>
          <w:lang w:val="en-US" w:eastAsia="zh-CN"/>
        </w:rPr>
        <w:t>企业应识别、分析、评价和控制施工机具风险，建立并完善施工机具安全操作规程。</w:t>
      </w:r>
    </w:p>
    <w:p>
      <w:pPr>
        <w:pStyle w:val="51"/>
        <w:tabs>
          <w:tab w:val="center" w:pos="4201"/>
          <w:tab w:val="right" w:leader="dot" w:pos="9298"/>
        </w:tabs>
        <w:ind w:firstLine="0" w:firstLineChars="0"/>
        <w:rPr>
          <w:rFonts w:hint="eastAsia"/>
          <w:lang w:val="en-US" w:eastAsia="zh-CN"/>
        </w:rPr>
      </w:pPr>
      <w:bookmarkStart w:id="198" w:name="_Toc29171"/>
      <w:bookmarkStart w:id="199" w:name="_Toc4409"/>
      <w:r>
        <w:rPr>
          <w:rFonts w:hint="eastAsia"/>
          <w:lang w:val="en-US" w:eastAsia="zh-CN"/>
        </w:rPr>
        <w:t>培训、使用与维护</w:t>
      </w:r>
      <w:bookmarkEnd w:id="198"/>
      <w:bookmarkEnd w:id="199"/>
    </w:p>
    <w:p>
      <w:pPr>
        <w:pStyle w:val="21"/>
        <w:rPr>
          <w:rFonts w:hint="eastAsia"/>
          <w:lang w:val="en-US" w:eastAsia="zh-CN"/>
        </w:rPr>
      </w:pPr>
      <w:r>
        <w:rPr>
          <w:rFonts w:hint="eastAsia"/>
          <w:lang w:val="en-US" w:eastAsia="zh-CN"/>
        </w:rPr>
        <w:t>企业采购或租赁的施工机具应符合相关法律法规要求，产品质量合格证明、使用和维护说明等相关资料齐全。</w:t>
      </w:r>
    </w:p>
    <w:p>
      <w:pPr>
        <w:pStyle w:val="21"/>
        <w:rPr>
          <w:rFonts w:hint="eastAsia"/>
          <w:lang w:val="en-US" w:eastAsia="zh-CN"/>
        </w:rPr>
      </w:pPr>
      <w:r>
        <w:rPr>
          <w:rFonts w:hint="eastAsia"/>
          <w:lang w:val="en-US" w:eastAsia="zh-CN"/>
        </w:rPr>
        <w:t>企业应根据生产工作性质与相应的风险选择、配置施工机具。</w:t>
      </w:r>
    </w:p>
    <w:p>
      <w:pPr>
        <w:pStyle w:val="21"/>
        <w:rPr>
          <w:rFonts w:hint="eastAsia"/>
          <w:lang w:val="en-US" w:eastAsia="zh-CN"/>
        </w:rPr>
      </w:pPr>
      <w:r>
        <w:rPr>
          <w:rFonts w:hint="eastAsia"/>
          <w:lang w:val="en-US" w:eastAsia="zh-CN"/>
        </w:rPr>
        <w:t>企业应对进场的施工机具与设施进行验收，并保存验收记录。</w:t>
      </w:r>
    </w:p>
    <w:p>
      <w:pPr>
        <w:pStyle w:val="21"/>
        <w:rPr>
          <w:rFonts w:hint="eastAsia"/>
          <w:lang w:val="en-US" w:eastAsia="zh-CN"/>
        </w:rPr>
      </w:pPr>
      <w:r>
        <w:rPr>
          <w:rFonts w:hint="eastAsia"/>
          <w:lang w:val="en-US" w:eastAsia="zh-CN"/>
        </w:rPr>
        <w:t>企业应根据风险，建立施工机具的使用、借用记录。</w:t>
      </w:r>
    </w:p>
    <w:p>
      <w:pPr>
        <w:pStyle w:val="21"/>
        <w:rPr>
          <w:rFonts w:hint="eastAsia"/>
          <w:lang w:val="en-US" w:eastAsia="zh-CN"/>
        </w:rPr>
      </w:pPr>
      <w:r>
        <w:rPr>
          <w:rFonts w:hint="eastAsia"/>
          <w:lang w:val="en-US" w:eastAsia="zh-CN"/>
        </w:rPr>
        <w:t>企业应组织有关人员进行施工机具的检查、使用、维护保养等知识与要求的培训。</w:t>
      </w:r>
    </w:p>
    <w:p>
      <w:pPr>
        <w:pStyle w:val="21"/>
        <w:rPr>
          <w:rFonts w:hint="eastAsia"/>
          <w:lang w:val="en-US" w:eastAsia="zh-CN"/>
        </w:rPr>
      </w:pPr>
      <w:r>
        <w:rPr>
          <w:rFonts w:hint="eastAsia"/>
          <w:lang w:val="en-US" w:eastAsia="zh-CN"/>
        </w:rPr>
        <w:t>施工机具使用前应执行检查并正确使用，不得违章操作。</w:t>
      </w:r>
    </w:p>
    <w:p>
      <w:pPr>
        <w:pStyle w:val="21"/>
        <w:rPr>
          <w:rFonts w:hint="default"/>
          <w:lang w:val="en-US" w:eastAsia="zh-CN"/>
        </w:rPr>
      </w:pPr>
      <w:r>
        <w:rPr>
          <w:rFonts w:hint="eastAsia"/>
          <w:lang w:val="en-US" w:eastAsia="zh-CN"/>
        </w:rPr>
        <w:t>企业应根据国家现行相关标准和管理制度的规定对施工机具进行定期维护与保养，确保其存放环境满足要求。</w:t>
      </w:r>
    </w:p>
    <w:p>
      <w:pPr>
        <w:pStyle w:val="21"/>
        <w:numPr>
          <w:ilvl w:val="0"/>
          <w:numId w:val="0"/>
        </w:numPr>
        <w:ind w:firstLine="420" w:firstLineChars="200"/>
        <w:rPr>
          <w:rFonts w:hint="eastAsia"/>
          <w:lang w:val="en-US" w:eastAsia="zh-CN"/>
        </w:rPr>
      </w:pPr>
      <w:r>
        <w:rPr>
          <w:rFonts w:hint="eastAsia"/>
          <w:lang w:val="en-US" w:eastAsia="zh-CN"/>
        </w:rPr>
        <w:t>企业应定期对施工机具维护保养情况的有效性进行检查验证，监督维护保养过程的规范性。</w:t>
      </w:r>
    </w:p>
    <w:p>
      <w:pPr>
        <w:pStyle w:val="51"/>
        <w:tabs>
          <w:tab w:val="center" w:pos="4201"/>
          <w:tab w:val="right" w:leader="dot" w:pos="9298"/>
        </w:tabs>
        <w:ind w:firstLine="0" w:firstLineChars="0"/>
        <w:rPr>
          <w:rFonts w:hint="eastAsia"/>
          <w:lang w:val="en-US" w:eastAsia="zh-CN"/>
        </w:rPr>
      </w:pPr>
      <w:bookmarkStart w:id="200" w:name="_Toc3707"/>
      <w:bookmarkStart w:id="201" w:name="_Toc19009"/>
      <w:r>
        <w:rPr>
          <w:rFonts w:hint="eastAsia"/>
          <w:lang w:val="en-US" w:eastAsia="zh-CN"/>
        </w:rPr>
        <w:t>检验与检查</w:t>
      </w:r>
      <w:bookmarkEnd w:id="200"/>
      <w:bookmarkEnd w:id="201"/>
    </w:p>
    <w:p>
      <w:pPr>
        <w:pStyle w:val="21"/>
        <w:numPr>
          <w:ilvl w:val="0"/>
          <w:numId w:val="0"/>
        </w:numPr>
        <w:ind w:firstLine="420" w:firstLineChars="200"/>
        <w:rPr>
          <w:rFonts w:hint="eastAsia"/>
          <w:lang w:val="en-US" w:eastAsia="zh-CN"/>
        </w:rPr>
      </w:pPr>
      <w:r>
        <w:rPr>
          <w:rFonts w:hint="eastAsia"/>
          <w:lang w:val="en-US" w:eastAsia="zh-CN"/>
        </w:rPr>
        <w:t>企业应识别需要定期检验的施工机具，并按标准实施检验或检查，保持其技术性能安全可靠，保存相应记录。</w:t>
      </w:r>
    </w:p>
    <w:p>
      <w:pPr>
        <w:pStyle w:val="21"/>
        <w:numPr>
          <w:ilvl w:val="0"/>
          <w:numId w:val="0"/>
        </w:numPr>
        <w:ind w:firstLine="420" w:firstLineChars="200"/>
        <w:rPr>
          <w:rFonts w:hint="eastAsia"/>
          <w:lang w:val="en-US" w:eastAsia="zh-CN"/>
        </w:rPr>
      </w:pPr>
      <w:r>
        <w:rPr>
          <w:rFonts w:hint="eastAsia"/>
          <w:lang w:val="en-US" w:eastAsia="zh-CN"/>
        </w:rPr>
        <w:t>委托的检验机构必须具备法定资格，标准或制度要求必须检验的施工机具未经检验或检验不合格的严禁使用并标识。</w:t>
      </w:r>
    </w:p>
    <w:p>
      <w:pPr>
        <w:pStyle w:val="21"/>
        <w:rPr>
          <w:rFonts w:hint="eastAsia"/>
          <w:lang w:val="en-US" w:eastAsia="zh-CN"/>
        </w:rPr>
      </w:pPr>
      <w:r>
        <w:rPr>
          <w:rFonts w:hint="eastAsia"/>
          <w:lang w:val="en-US" w:eastAsia="zh-CN"/>
        </w:rPr>
        <w:t>企业应对施工机具管理要求的依从性进行检查。</w:t>
      </w:r>
    </w:p>
    <w:p>
      <w:pPr>
        <w:pStyle w:val="51"/>
        <w:bidi w:val="0"/>
        <w:ind w:left="0" w:leftChars="0" w:firstLine="0" w:firstLineChars="0"/>
        <w:rPr>
          <w:rFonts w:hint="eastAsia"/>
          <w:lang w:val="en-US" w:eastAsia="zh-CN"/>
        </w:rPr>
      </w:pPr>
      <w:bookmarkStart w:id="202" w:name="_Toc20866"/>
      <w:bookmarkStart w:id="203" w:name="_Toc26427"/>
      <w:r>
        <w:rPr>
          <w:rFonts w:hint="eastAsia"/>
          <w:lang w:val="en-US" w:eastAsia="zh-CN"/>
        </w:rPr>
        <w:t>安装与拆除</w:t>
      </w:r>
      <w:bookmarkEnd w:id="202"/>
      <w:bookmarkEnd w:id="203"/>
    </w:p>
    <w:p>
      <w:pPr>
        <w:pStyle w:val="21"/>
        <w:rPr>
          <w:rFonts w:hint="eastAsia"/>
          <w:lang w:val="en-US" w:eastAsia="zh-CN"/>
        </w:rPr>
      </w:pPr>
      <w:r>
        <w:rPr>
          <w:rFonts w:hint="eastAsia"/>
          <w:lang w:val="en-US" w:eastAsia="zh-CN"/>
        </w:rPr>
        <w:t>施工机具的安装、拆除应符合国家现行相关标准的规定。</w:t>
      </w:r>
    </w:p>
    <w:p>
      <w:pPr>
        <w:pStyle w:val="21"/>
        <w:rPr>
          <w:rFonts w:hint="eastAsia"/>
          <w:lang w:val="en-US" w:eastAsia="zh-CN"/>
        </w:rPr>
      </w:pPr>
      <w:r>
        <w:rPr>
          <w:rFonts w:hint="eastAsia"/>
          <w:lang w:val="en-US" w:eastAsia="zh-CN"/>
        </w:rPr>
        <w:t>企业应针对危险性较大或技术复杂的工程，编制专项施工方案，经审批后组织实施。</w:t>
      </w:r>
    </w:p>
    <w:p>
      <w:pPr>
        <w:pStyle w:val="21"/>
        <w:rPr>
          <w:rFonts w:hint="eastAsia"/>
          <w:lang w:val="en-US" w:eastAsia="zh-CN"/>
        </w:rPr>
      </w:pPr>
      <w:r>
        <w:rPr>
          <w:rFonts w:hint="eastAsia"/>
          <w:lang w:val="en-US" w:eastAsia="zh-CN"/>
        </w:rPr>
        <w:t>企业应在安装、拆除作业前对相关人员进行交底，并保存相关记录。</w:t>
      </w:r>
    </w:p>
    <w:p>
      <w:pPr>
        <w:pStyle w:val="21"/>
        <w:rPr>
          <w:rFonts w:hint="eastAsia"/>
          <w:lang w:val="en-US" w:eastAsia="zh-CN"/>
        </w:rPr>
      </w:pPr>
      <w:r>
        <w:rPr>
          <w:rFonts w:hint="eastAsia"/>
          <w:lang w:val="en-US" w:eastAsia="zh-CN"/>
        </w:rPr>
        <w:t>施工机具的安装、拆除作业人员、操作人员、维护人员应培训合格。</w:t>
      </w:r>
    </w:p>
    <w:p>
      <w:pPr>
        <w:pStyle w:val="21"/>
        <w:rPr>
          <w:rFonts w:hint="eastAsia"/>
          <w:lang w:val="en-US" w:eastAsia="zh-CN"/>
        </w:rPr>
      </w:pPr>
      <w:r>
        <w:rPr>
          <w:rFonts w:hint="eastAsia"/>
          <w:lang w:val="en-US" w:eastAsia="zh-CN"/>
        </w:rPr>
        <w:t>企业应对各类人员的资格进行审核。</w:t>
      </w:r>
    </w:p>
    <w:p>
      <w:pPr>
        <w:pStyle w:val="21"/>
        <w:rPr>
          <w:rFonts w:hint="default"/>
          <w:lang w:val="en-US" w:eastAsia="zh-CN"/>
        </w:rPr>
      </w:pPr>
      <w:r>
        <w:rPr>
          <w:rFonts w:hint="eastAsia"/>
          <w:lang w:val="en-US" w:eastAsia="zh-CN"/>
        </w:rPr>
        <w:t>企业应在施工机具安装作业完成后对施工机具与设施进行检测和验收，未经检测验收或验收不合格的不得使用。</w:t>
      </w:r>
    </w:p>
    <w:p>
      <w:pPr>
        <w:pStyle w:val="21"/>
        <w:rPr>
          <w:rFonts w:hint="eastAsia"/>
          <w:lang w:val="en-US" w:eastAsia="zh-CN"/>
        </w:rPr>
      </w:pPr>
      <w:r>
        <w:rPr>
          <w:rFonts w:hint="eastAsia"/>
          <w:lang w:val="en-US" w:eastAsia="zh-CN"/>
        </w:rPr>
        <w:t>企业应保留成文信息，作为施工机具安装、拆除的证据。</w:t>
      </w:r>
    </w:p>
    <w:p>
      <w:pPr>
        <w:pStyle w:val="51"/>
        <w:bidi w:val="0"/>
        <w:ind w:left="0" w:leftChars="0" w:firstLine="0" w:firstLineChars="0"/>
        <w:rPr>
          <w:rFonts w:hint="eastAsia"/>
          <w:lang w:val="en-US" w:eastAsia="zh-CN"/>
        </w:rPr>
      </w:pPr>
      <w:bookmarkStart w:id="204" w:name="_Toc14760"/>
      <w:bookmarkStart w:id="205" w:name="_Toc25314"/>
      <w:r>
        <w:rPr>
          <w:rFonts w:hint="eastAsia"/>
          <w:lang w:val="en-US" w:eastAsia="zh-CN"/>
        </w:rPr>
        <w:t>报废</w:t>
      </w:r>
      <w:bookmarkEnd w:id="204"/>
      <w:bookmarkEnd w:id="205"/>
    </w:p>
    <w:p>
      <w:pPr>
        <w:pStyle w:val="21"/>
        <w:rPr>
          <w:rFonts w:hint="eastAsia"/>
          <w:lang w:val="en-US" w:eastAsia="zh-CN"/>
        </w:rPr>
      </w:pPr>
      <w:r>
        <w:rPr>
          <w:rFonts w:hint="eastAsia"/>
          <w:lang w:val="en-US" w:eastAsia="zh-CN"/>
        </w:rPr>
        <w:t>经试验、检验不符合国家或行业标准、超过有效使用期限或不能达到相关技术标准规定功能的施工机具应及时报废。</w:t>
      </w:r>
    </w:p>
    <w:p>
      <w:pPr>
        <w:pStyle w:val="21"/>
        <w:rPr>
          <w:rFonts w:hint="eastAsia"/>
          <w:lang w:val="en-US" w:eastAsia="zh-CN"/>
        </w:rPr>
      </w:pPr>
      <w:r>
        <w:rPr>
          <w:rFonts w:hint="eastAsia"/>
          <w:lang w:val="en-US" w:eastAsia="zh-CN"/>
        </w:rPr>
        <w:t>报废的施工机具应与合格的施工机具分开存放并标识。</w:t>
      </w:r>
    </w:p>
    <w:p>
      <w:pPr>
        <w:pStyle w:val="21"/>
        <w:rPr>
          <w:rFonts w:hint="eastAsia"/>
          <w:lang w:val="en-US" w:eastAsia="zh-CN"/>
        </w:rPr>
      </w:pPr>
      <w:r>
        <w:rPr>
          <w:rFonts w:hint="eastAsia"/>
          <w:lang w:val="en-US" w:eastAsia="zh-CN"/>
        </w:rPr>
        <w:t>企业应保留成文信息，作为施工机具报废的证据。</w:t>
      </w:r>
    </w:p>
    <w:p>
      <w:pPr>
        <w:pStyle w:val="94"/>
        <w:rPr>
          <w:rFonts w:hint="default"/>
          <w:szCs w:val="22"/>
          <w:lang w:val="en-US" w:eastAsia="zh-CN"/>
        </w:rPr>
      </w:pPr>
      <w:bookmarkStart w:id="206" w:name="_Toc13639"/>
      <w:bookmarkStart w:id="207" w:name="_Toc15426"/>
      <w:bookmarkStart w:id="208" w:name="_Toc16074"/>
      <w:r>
        <w:rPr>
          <w:rFonts w:hint="eastAsia"/>
          <w:szCs w:val="22"/>
          <w:lang w:val="en-US" w:eastAsia="zh-CN"/>
        </w:rPr>
        <w:t>物项</w:t>
      </w:r>
      <w:r>
        <w:rPr>
          <w:rFonts w:hint="default"/>
          <w:szCs w:val="22"/>
          <w:lang w:val="en-US" w:eastAsia="zh-CN"/>
        </w:rPr>
        <w:t>管理</w:t>
      </w:r>
      <w:bookmarkEnd w:id="206"/>
      <w:bookmarkEnd w:id="207"/>
      <w:bookmarkEnd w:id="208"/>
    </w:p>
    <w:p>
      <w:pPr>
        <w:pStyle w:val="51"/>
        <w:bidi w:val="0"/>
        <w:ind w:left="0" w:leftChars="0" w:firstLine="0" w:firstLineChars="0"/>
        <w:rPr>
          <w:rFonts w:hint="default"/>
          <w:lang w:val="en-US" w:eastAsia="zh-CN"/>
        </w:rPr>
      </w:pPr>
      <w:bookmarkStart w:id="209" w:name="_Toc11385"/>
      <w:bookmarkStart w:id="210" w:name="_Toc10922"/>
      <w:bookmarkStart w:id="211" w:name="_Toc3812"/>
      <w:r>
        <w:rPr>
          <w:rFonts w:hint="default"/>
          <w:lang w:val="en-US" w:eastAsia="zh-CN"/>
        </w:rPr>
        <w:t>采购</w:t>
      </w:r>
      <w:bookmarkEnd w:id="209"/>
      <w:bookmarkEnd w:id="210"/>
      <w:bookmarkEnd w:id="211"/>
    </w:p>
    <w:p>
      <w:pPr>
        <w:pStyle w:val="21"/>
        <w:rPr>
          <w:rFonts w:hint="eastAsia"/>
          <w:lang w:val="en-US" w:eastAsia="zh-CN"/>
        </w:rPr>
      </w:pPr>
      <w:r>
        <w:rPr>
          <w:rFonts w:hint="eastAsia"/>
          <w:lang w:val="en-US" w:eastAsia="zh-CN"/>
        </w:rPr>
        <w:t>企业应依据设计文件、国家现行相关标准和工程合同要求编制物项采购计划，明确采购方式、种类、规格、型号、数量、交付期、技术性能和质量标准、安全要求等，并经审批后组织实施。</w:t>
      </w:r>
    </w:p>
    <w:p>
      <w:pPr>
        <w:pStyle w:val="21"/>
        <w:rPr>
          <w:rFonts w:hint="eastAsia"/>
          <w:lang w:val="en-US" w:eastAsia="zh-CN"/>
        </w:rPr>
      </w:pPr>
      <w:r>
        <w:rPr>
          <w:rFonts w:hint="eastAsia"/>
          <w:lang w:val="en-US" w:eastAsia="zh-CN"/>
        </w:rPr>
        <w:t>企业应选择合适的供应商，并组织合格供方评审与评价工作。</w:t>
      </w:r>
    </w:p>
    <w:p>
      <w:pPr>
        <w:pStyle w:val="21"/>
        <w:rPr>
          <w:rFonts w:hint="eastAsia"/>
          <w:lang w:val="en-US" w:eastAsia="zh-CN"/>
        </w:rPr>
      </w:pPr>
      <w:r>
        <w:rPr>
          <w:rFonts w:hint="eastAsia"/>
          <w:lang w:val="en-US" w:eastAsia="zh-CN"/>
        </w:rPr>
        <w:t>物项采购前</w:t>
      </w:r>
      <w:r>
        <w:rPr>
          <w:rFonts w:hint="eastAsia"/>
          <w:highlight w:val="none"/>
          <w:lang w:val="en-US" w:eastAsia="zh-CN"/>
        </w:rPr>
        <w:t>应选择合适的采购方式进行招标采购工作</w:t>
      </w:r>
      <w:r>
        <w:rPr>
          <w:rFonts w:hint="eastAsia"/>
          <w:lang w:val="en-US" w:eastAsia="zh-CN"/>
        </w:rPr>
        <w:t>。</w:t>
      </w:r>
    </w:p>
    <w:p>
      <w:pPr>
        <w:pStyle w:val="21"/>
        <w:rPr>
          <w:rFonts w:hint="eastAsia"/>
          <w:lang w:val="en-US" w:eastAsia="zh-CN"/>
        </w:rPr>
      </w:pPr>
      <w:r>
        <w:rPr>
          <w:rFonts w:hint="eastAsia"/>
          <w:lang w:val="en-US" w:eastAsia="zh-CN"/>
        </w:rPr>
        <w:t>企业应保留成文信息，作为采购的证据。</w:t>
      </w:r>
    </w:p>
    <w:p>
      <w:pPr>
        <w:pStyle w:val="51"/>
        <w:bidi w:val="0"/>
        <w:ind w:left="0" w:leftChars="0" w:firstLine="0" w:firstLineChars="0"/>
        <w:rPr>
          <w:rFonts w:hint="default"/>
          <w:lang w:val="en-US" w:eastAsia="zh-CN"/>
        </w:rPr>
      </w:pPr>
      <w:bookmarkStart w:id="212" w:name="_Toc6450"/>
      <w:bookmarkStart w:id="213" w:name="_Toc19345"/>
      <w:bookmarkStart w:id="214" w:name="_Toc27920"/>
      <w:r>
        <w:rPr>
          <w:rFonts w:hint="default"/>
          <w:lang w:val="en-US" w:eastAsia="zh-CN"/>
        </w:rPr>
        <w:t>进场验收</w:t>
      </w:r>
      <w:bookmarkEnd w:id="212"/>
      <w:bookmarkEnd w:id="213"/>
      <w:bookmarkEnd w:id="214"/>
    </w:p>
    <w:p>
      <w:pPr>
        <w:pStyle w:val="21"/>
        <w:rPr>
          <w:rFonts w:hint="eastAsia"/>
          <w:lang w:val="en-US" w:eastAsia="zh-CN"/>
        </w:rPr>
      </w:pPr>
      <w:r>
        <w:rPr>
          <w:rFonts w:hint="eastAsia"/>
          <w:lang w:val="en-US" w:eastAsia="zh-CN"/>
        </w:rPr>
        <w:t>企业应对进场的物项进行验收，内容包括物项品种、规格、数量、质量等。</w:t>
      </w:r>
    </w:p>
    <w:p>
      <w:pPr>
        <w:pStyle w:val="21"/>
        <w:rPr>
          <w:rFonts w:hint="eastAsia"/>
          <w:lang w:val="en-US" w:eastAsia="zh-CN"/>
        </w:rPr>
      </w:pPr>
      <w:r>
        <w:rPr>
          <w:rFonts w:hint="eastAsia"/>
          <w:lang w:val="en-US" w:eastAsia="zh-CN"/>
        </w:rPr>
        <w:t>未经验收或验收不合格的物项，不得用于工程施工。</w:t>
      </w:r>
    </w:p>
    <w:p>
      <w:pPr>
        <w:pStyle w:val="21"/>
        <w:rPr>
          <w:rFonts w:hint="eastAsia"/>
          <w:lang w:val="en-US" w:eastAsia="zh-CN"/>
        </w:rPr>
      </w:pPr>
      <w:r>
        <w:rPr>
          <w:rFonts w:hint="eastAsia"/>
          <w:lang w:val="en-US" w:eastAsia="zh-CN"/>
        </w:rPr>
        <w:t>企业应对物项进场验收的内容、方法和时间进行控制，形成记录，并根据需求到供应商的现场进行验证。</w:t>
      </w:r>
    </w:p>
    <w:p>
      <w:pPr>
        <w:pStyle w:val="21"/>
        <w:rPr>
          <w:rFonts w:hint="eastAsia"/>
          <w:lang w:val="en-US" w:eastAsia="zh-CN"/>
        </w:rPr>
      </w:pPr>
      <w:r>
        <w:rPr>
          <w:rFonts w:hint="eastAsia"/>
          <w:lang w:val="en-US" w:eastAsia="zh-CN"/>
        </w:rPr>
        <w:t>企业应按工程合同约定对发包方提供的物项进行识别与验收，并保存相关记录。</w:t>
      </w:r>
    </w:p>
    <w:p>
      <w:pPr>
        <w:pStyle w:val="21"/>
        <w:rPr>
          <w:rFonts w:hint="eastAsia"/>
          <w:lang w:val="en-US" w:eastAsia="zh-CN"/>
        </w:rPr>
      </w:pPr>
      <w:r>
        <w:rPr>
          <w:rFonts w:hint="eastAsia"/>
          <w:lang w:val="en-US" w:eastAsia="zh-CN"/>
        </w:rPr>
        <w:t>经验收不合格的物项，企业应采取记录、标识、隔离的措施，防止其被误用的可能，并按规定的程序进行处理，记录处理结果。</w:t>
      </w:r>
    </w:p>
    <w:p>
      <w:pPr>
        <w:pStyle w:val="21"/>
        <w:rPr>
          <w:rFonts w:hint="eastAsia"/>
          <w:lang w:val="en-US" w:eastAsia="zh-CN"/>
        </w:rPr>
      </w:pPr>
      <w:r>
        <w:rPr>
          <w:rFonts w:hint="eastAsia"/>
          <w:lang w:val="en-US" w:eastAsia="zh-CN"/>
        </w:rPr>
        <w:t>当发现发包方提供的物项不符合设计要求和国家现行相关标准规定时，企业应向发包方报告，并进行处理，形成记录。</w:t>
      </w:r>
    </w:p>
    <w:p>
      <w:pPr>
        <w:pStyle w:val="21"/>
        <w:rPr>
          <w:rFonts w:hint="eastAsia"/>
          <w:lang w:val="en-US" w:eastAsia="zh-CN"/>
        </w:rPr>
      </w:pPr>
      <w:r>
        <w:rPr>
          <w:rFonts w:hint="eastAsia"/>
          <w:lang w:val="en-US" w:eastAsia="zh-CN"/>
        </w:rPr>
        <w:t>企业应保留成文信息，作为物项验收的证据。</w:t>
      </w:r>
    </w:p>
    <w:p>
      <w:pPr>
        <w:pStyle w:val="51"/>
        <w:bidi w:val="0"/>
        <w:ind w:left="0" w:leftChars="0" w:firstLine="0" w:firstLineChars="0"/>
        <w:rPr>
          <w:rFonts w:hint="default"/>
          <w:lang w:val="en-US" w:eastAsia="zh-CN"/>
        </w:rPr>
      </w:pPr>
      <w:bookmarkStart w:id="215" w:name="_Toc24624"/>
      <w:bookmarkStart w:id="216" w:name="_Toc29310"/>
      <w:bookmarkStart w:id="217" w:name="_Toc25678"/>
      <w:r>
        <w:rPr>
          <w:rFonts w:hint="default"/>
          <w:lang w:val="en-US" w:eastAsia="zh-CN"/>
        </w:rPr>
        <w:t>现场管理</w:t>
      </w:r>
      <w:bookmarkEnd w:id="215"/>
      <w:bookmarkEnd w:id="216"/>
      <w:bookmarkEnd w:id="217"/>
    </w:p>
    <w:p>
      <w:pPr>
        <w:pStyle w:val="21"/>
        <w:rPr>
          <w:rFonts w:hint="eastAsia"/>
          <w:lang w:val="en-US" w:eastAsia="zh-CN"/>
        </w:rPr>
      </w:pPr>
      <w:r>
        <w:rPr>
          <w:rFonts w:hint="eastAsia"/>
          <w:lang w:val="en-US" w:eastAsia="zh-CN"/>
        </w:rPr>
        <w:t>企业应对工程材料、构配件和设备的储存、保管、发放、使用、搬运、防护实施过程控制，并保存相关记录。</w:t>
      </w:r>
    </w:p>
    <w:p>
      <w:pPr>
        <w:pStyle w:val="21"/>
        <w:rPr>
          <w:rFonts w:hint="eastAsia"/>
          <w:lang w:val="en-US" w:eastAsia="zh-CN"/>
        </w:rPr>
      </w:pPr>
      <w:r>
        <w:rPr>
          <w:rFonts w:hint="eastAsia"/>
          <w:lang w:val="en-US" w:eastAsia="zh-CN"/>
        </w:rPr>
        <w:t>企业应对涉及工程结构安全、节能、环境保护和主要使用功能的物项进行标识，并具有可追溯性。</w:t>
      </w:r>
    </w:p>
    <w:p>
      <w:pPr>
        <w:pStyle w:val="21"/>
        <w:rPr>
          <w:rFonts w:hint="eastAsia"/>
          <w:lang w:val="en-US" w:eastAsia="zh-CN"/>
        </w:rPr>
      </w:pPr>
      <w:r>
        <w:rPr>
          <w:rFonts w:hint="eastAsia"/>
          <w:lang w:val="en-US" w:eastAsia="zh-CN"/>
        </w:rPr>
        <w:t>对物项的现场管理，企业应进行检查，宜分析和改进相关过程。</w:t>
      </w:r>
    </w:p>
    <w:p>
      <w:pPr>
        <w:pStyle w:val="21"/>
        <w:rPr>
          <w:rFonts w:hint="eastAsia"/>
          <w:color w:val="auto"/>
          <w:lang w:val="en-US" w:eastAsia="zh-CN"/>
        </w:rPr>
      </w:pPr>
      <w:r>
        <w:rPr>
          <w:rFonts w:hint="eastAsia"/>
          <w:color w:val="auto"/>
          <w:lang w:val="en-US" w:eastAsia="zh-CN"/>
        </w:rPr>
        <w:t>物项发生变更时，企业应按设计文件、工程合同和相关规定进行控制。</w:t>
      </w:r>
    </w:p>
    <w:p>
      <w:pPr>
        <w:pStyle w:val="21"/>
        <w:rPr>
          <w:rFonts w:hint="eastAsia"/>
          <w:color w:val="auto"/>
          <w:lang w:val="en-US" w:eastAsia="zh-CN"/>
        </w:rPr>
      </w:pPr>
      <w:r>
        <w:rPr>
          <w:rFonts w:hint="eastAsia"/>
          <w:color w:val="auto"/>
          <w:lang w:val="en-US" w:eastAsia="zh-CN"/>
        </w:rPr>
        <w:t>企业应保留成文信息，作为现场管理的证据。</w:t>
      </w:r>
    </w:p>
    <w:p>
      <w:pPr>
        <w:pStyle w:val="94"/>
        <w:rPr>
          <w:rFonts w:hint="default"/>
          <w:color w:val="auto"/>
          <w:szCs w:val="22"/>
          <w:lang w:val="en-US" w:eastAsia="zh-CN"/>
        </w:rPr>
      </w:pPr>
      <w:bookmarkStart w:id="218" w:name="_Toc30545"/>
      <w:bookmarkStart w:id="219" w:name="_Toc14023"/>
      <w:bookmarkStart w:id="220" w:name="_Toc12757"/>
      <w:r>
        <w:rPr>
          <w:rFonts w:hint="default"/>
          <w:color w:val="auto"/>
          <w:szCs w:val="22"/>
          <w:lang w:val="en-US" w:eastAsia="zh-CN"/>
        </w:rPr>
        <w:t>工程项目管理</w:t>
      </w:r>
      <w:bookmarkEnd w:id="218"/>
      <w:bookmarkEnd w:id="219"/>
      <w:bookmarkEnd w:id="220"/>
    </w:p>
    <w:p>
      <w:pPr>
        <w:pStyle w:val="51"/>
        <w:bidi w:val="0"/>
        <w:ind w:left="0" w:leftChars="0" w:firstLine="0" w:firstLineChars="0"/>
        <w:rPr>
          <w:rFonts w:hint="eastAsia"/>
          <w:color w:val="auto"/>
          <w:lang w:val="en-US" w:eastAsia="zh-CN"/>
        </w:rPr>
      </w:pPr>
      <w:bookmarkStart w:id="221" w:name="_Toc30708"/>
      <w:bookmarkStart w:id="222" w:name="_Toc12"/>
      <w:bookmarkStart w:id="223" w:name="_Toc11695"/>
      <w:r>
        <w:rPr>
          <w:rFonts w:hint="eastAsia"/>
          <w:color w:val="auto"/>
          <w:lang w:val="en-US" w:eastAsia="zh-CN"/>
        </w:rPr>
        <w:t>投标管理</w:t>
      </w:r>
      <w:bookmarkEnd w:id="221"/>
      <w:bookmarkEnd w:id="222"/>
    </w:p>
    <w:p>
      <w:pPr>
        <w:pStyle w:val="21"/>
        <w:rPr>
          <w:rFonts w:hint="eastAsia"/>
          <w:color w:val="auto"/>
          <w:lang w:val="en-US" w:eastAsia="zh-CN"/>
        </w:rPr>
      </w:pPr>
      <w:r>
        <w:rPr>
          <w:rFonts w:hint="eastAsia"/>
          <w:color w:val="auto"/>
          <w:lang w:val="en-US" w:eastAsia="zh-CN"/>
        </w:rPr>
        <w:t>企业需确保在投标前识别投标项目的有关要求，并通过适宜的方式（会议、网络、文件传递等）对这些要求进行评审，以确认是否有能力满足以下要求：</w:t>
      </w:r>
    </w:p>
    <w:p>
      <w:pPr>
        <w:pStyle w:val="21"/>
        <w:rPr>
          <w:rFonts w:hint="eastAsia"/>
          <w:color w:val="auto"/>
          <w:lang w:val="en-US" w:eastAsia="zh-CN"/>
        </w:rPr>
      </w:pPr>
      <w:r>
        <w:rPr>
          <w:rFonts w:hint="eastAsia"/>
          <w:color w:val="auto"/>
          <w:lang w:val="en-US" w:eastAsia="zh-CN"/>
        </w:rPr>
        <w:t>a）发包方的要求包括招标文件及合同在内的各种形式的要求。</w:t>
      </w:r>
    </w:p>
    <w:p>
      <w:pPr>
        <w:pStyle w:val="21"/>
        <w:rPr>
          <w:rFonts w:hint="eastAsia"/>
          <w:color w:val="auto"/>
          <w:lang w:val="en-US" w:eastAsia="zh-CN"/>
        </w:rPr>
      </w:pPr>
      <w:r>
        <w:rPr>
          <w:rFonts w:hint="eastAsia"/>
          <w:color w:val="auto"/>
          <w:lang w:val="en-US" w:eastAsia="zh-CN"/>
        </w:rPr>
        <w:t>b）发包方明示的要求是指发包方在招标文件及工程合同等文件中明确提出的要求（口头要求需形成文件）。</w:t>
      </w:r>
    </w:p>
    <w:p>
      <w:pPr>
        <w:pStyle w:val="21"/>
        <w:rPr>
          <w:rFonts w:hint="eastAsia"/>
          <w:color w:val="auto"/>
          <w:lang w:val="en-US" w:eastAsia="zh-CN"/>
        </w:rPr>
      </w:pPr>
      <w:r>
        <w:rPr>
          <w:rFonts w:hint="eastAsia"/>
          <w:color w:val="auto"/>
          <w:lang w:val="en-US" w:eastAsia="zh-CN"/>
        </w:rPr>
        <w:t>c）发包方未明示但应满足的要求是指需满足行业的技术或管理要求、与工程相关的法律法规、标准规范及施工企业自身设计、施工能力需足的要求。</w:t>
      </w:r>
    </w:p>
    <w:p>
      <w:pPr>
        <w:pStyle w:val="21"/>
        <w:rPr>
          <w:rFonts w:hint="eastAsia"/>
          <w:color w:val="auto"/>
          <w:lang w:val="en-US" w:eastAsia="zh-CN"/>
        </w:rPr>
      </w:pPr>
      <w:r>
        <w:rPr>
          <w:rFonts w:hint="eastAsia"/>
          <w:color w:val="auto"/>
          <w:lang w:val="en-US" w:eastAsia="zh-CN"/>
        </w:rPr>
        <w:t>企业需对投标过程进行监控，以确保合法实施投标活动。</w:t>
      </w:r>
    </w:p>
    <w:p>
      <w:pPr>
        <w:pStyle w:val="21"/>
        <w:rPr>
          <w:rFonts w:hint="eastAsia"/>
          <w:color w:val="auto"/>
          <w:lang w:val="en-US" w:eastAsia="zh-CN"/>
        </w:rPr>
      </w:pPr>
      <w:r>
        <w:rPr>
          <w:rFonts w:hint="eastAsia"/>
          <w:color w:val="auto"/>
          <w:lang w:val="en-US" w:eastAsia="zh-CN"/>
        </w:rPr>
        <w:t>在向发包方提供工程和服务承诺前，企业需评审：</w:t>
      </w:r>
    </w:p>
    <w:p>
      <w:pPr>
        <w:pStyle w:val="21"/>
        <w:numPr>
          <w:ilvl w:val="0"/>
          <w:numId w:val="0"/>
        </w:numPr>
        <w:ind w:left="420" w:leftChars="0"/>
        <w:rPr>
          <w:rFonts w:hint="eastAsia"/>
          <w:color w:val="auto"/>
          <w:szCs w:val="22"/>
          <w:lang w:val="en-US" w:eastAsia="zh-CN"/>
        </w:rPr>
      </w:pPr>
      <w:r>
        <w:rPr>
          <w:rFonts w:hint="eastAsia"/>
          <w:color w:val="auto"/>
          <w:szCs w:val="22"/>
          <w:lang w:val="en-US" w:eastAsia="zh-CN"/>
        </w:rPr>
        <w:t>——企业满足适用的安全生产法律法规、发包方和企业认为的必要要求的程度；</w:t>
      </w:r>
    </w:p>
    <w:p>
      <w:pPr>
        <w:pStyle w:val="21"/>
        <w:numPr>
          <w:ilvl w:val="0"/>
          <w:numId w:val="0"/>
        </w:numPr>
        <w:ind w:left="420" w:leftChars="0"/>
        <w:rPr>
          <w:rFonts w:hint="eastAsia"/>
          <w:color w:val="auto"/>
          <w:szCs w:val="22"/>
          <w:lang w:val="en-US" w:eastAsia="zh-CN"/>
        </w:rPr>
      </w:pPr>
      <w:r>
        <w:rPr>
          <w:rFonts w:hint="eastAsia"/>
          <w:color w:val="auto"/>
          <w:szCs w:val="22"/>
          <w:lang w:val="en-US" w:eastAsia="zh-CN"/>
        </w:rPr>
        <w:t>——企业安全改进能力能够应对风险和机遇的水平；</w:t>
      </w:r>
    </w:p>
    <w:p>
      <w:pPr>
        <w:pStyle w:val="21"/>
        <w:numPr>
          <w:ilvl w:val="0"/>
          <w:numId w:val="0"/>
        </w:numPr>
        <w:ind w:left="420" w:leftChars="0"/>
        <w:rPr>
          <w:rFonts w:hint="default"/>
          <w:color w:val="auto"/>
          <w:szCs w:val="22"/>
          <w:lang w:val="en-US" w:eastAsia="zh-CN"/>
        </w:rPr>
      </w:pPr>
      <w:r>
        <w:rPr>
          <w:rFonts w:hint="eastAsia"/>
          <w:color w:val="auto"/>
          <w:szCs w:val="22"/>
          <w:lang w:val="en-US" w:eastAsia="zh-CN"/>
        </w:rPr>
        <w:t>——企业的安健环表现及相关绩效指标；</w:t>
      </w:r>
    </w:p>
    <w:p>
      <w:pPr>
        <w:pStyle w:val="21"/>
        <w:numPr>
          <w:ilvl w:val="0"/>
          <w:numId w:val="0"/>
        </w:numPr>
        <w:ind w:left="420" w:leftChars="0"/>
        <w:rPr>
          <w:rFonts w:hint="default"/>
          <w:color w:val="auto"/>
          <w:szCs w:val="22"/>
          <w:lang w:val="en-US" w:eastAsia="zh-CN"/>
        </w:rPr>
      </w:pPr>
      <w:r>
        <w:rPr>
          <w:rFonts w:hint="eastAsia"/>
          <w:color w:val="auto"/>
          <w:szCs w:val="22"/>
          <w:lang w:val="en-US" w:eastAsia="zh-CN"/>
        </w:rPr>
        <w:t>——其他需要的内容。</w:t>
      </w:r>
    </w:p>
    <w:p>
      <w:pPr>
        <w:pStyle w:val="21"/>
        <w:numPr>
          <w:ilvl w:val="0"/>
          <w:numId w:val="0"/>
        </w:numPr>
        <w:ind w:firstLine="420" w:firstLineChars="200"/>
        <w:rPr>
          <w:rFonts w:hint="default"/>
          <w:color w:val="auto"/>
          <w:szCs w:val="22"/>
          <w:lang w:val="en-US" w:eastAsia="zh-CN"/>
        </w:rPr>
      </w:pPr>
      <w:r>
        <w:rPr>
          <w:rFonts w:hint="eastAsia"/>
          <w:color w:val="auto"/>
          <w:szCs w:val="22"/>
          <w:lang w:val="en-US" w:eastAsia="zh-CN"/>
        </w:rPr>
        <w:t>投标的有关记录需能为证实工程和安全符合要求提供必要的追溯和依据，</w:t>
      </w:r>
      <w:r>
        <w:rPr>
          <w:rFonts w:hint="eastAsia"/>
          <w:color w:val="auto"/>
          <w:lang w:val="en-US" w:eastAsia="zh-CN"/>
        </w:rPr>
        <w:t>企业应保留成文信息，作为其投标证据。</w:t>
      </w:r>
    </w:p>
    <w:p>
      <w:pPr>
        <w:pStyle w:val="51"/>
        <w:bidi w:val="0"/>
        <w:ind w:left="0" w:leftChars="0" w:firstLine="0" w:firstLineChars="0"/>
        <w:rPr>
          <w:rFonts w:hint="eastAsia"/>
          <w:color w:val="auto"/>
          <w:lang w:val="en-US" w:eastAsia="zh-CN"/>
        </w:rPr>
      </w:pPr>
      <w:bookmarkStart w:id="224" w:name="_Toc16228"/>
      <w:bookmarkStart w:id="225" w:name="_Toc17649"/>
      <w:r>
        <w:rPr>
          <w:rFonts w:hint="eastAsia"/>
          <w:color w:val="auto"/>
          <w:lang w:val="en-US" w:eastAsia="zh-CN"/>
        </w:rPr>
        <w:t>合同管理</w:t>
      </w:r>
      <w:bookmarkEnd w:id="224"/>
      <w:bookmarkEnd w:id="225"/>
    </w:p>
    <w:p>
      <w:pPr>
        <w:pStyle w:val="51"/>
        <w:numPr>
          <w:ilvl w:val="0"/>
          <w:numId w:val="0"/>
        </w:numPr>
        <w:tabs>
          <w:tab w:val="center" w:pos="4201"/>
          <w:tab w:val="right" w:leader="dot" w:pos="9298"/>
        </w:tabs>
        <w:rPr>
          <w:rFonts w:hint="eastAsia"/>
          <w:color w:val="auto"/>
          <w:lang w:val="en-US" w:eastAsia="zh-CN"/>
        </w:rPr>
      </w:pPr>
      <w:bookmarkStart w:id="226" w:name="_Toc26899"/>
      <w:bookmarkStart w:id="227" w:name="_Toc15740"/>
      <w:r>
        <w:rPr>
          <w:rFonts w:hint="eastAsia"/>
          <w:color w:val="auto"/>
          <w:lang w:val="en-US" w:eastAsia="zh-CN"/>
        </w:rPr>
        <w:t>11.2.1 合同签订</w:t>
      </w:r>
      <w:bookmarkEnd w:id="226"/>
      <w:bookmarkEnd w:id="227"/>
    </w:p>
    <w:p>
      <w:pPr>
        <w:pStyle w:val="21"/>
        <w:ind w:left="0" w:leftChars="0" w:firstLine="420" w:firstLineChars="200"/>
        <w:rPr>
          <w:rFonts w:hint="eastAsia"/>
          <w:color w:val="auto"/>
          <w:lang w:val="en-US" w:eastAsia="zh-CN"/>
        </w:rPr>
      </w:pPr>
      <w:r>
        <w:rPr>
          <w:rFonts w:hint="eastAsia"/>
          <w:color w:val="auto"/>
          <w:lang w:val="en-US" w:eastAsia="zh-CN"/>
        </w:rPr>
        <w:t>企业应制定合同管理制度，通过对工程项目合同的管理，确保充分了解顾客及相关方对工程项目施工和服务质量、安全等要求，并有能力实现这些要求。</w:t>
      </w:r>
    </w:p>
    <w:p>
      <w:pPr>
        <w:pStyle w:val="21"/>
        <w:numPr>
          <w:ilvl w:val="0"/>
          <w:numId w:val="0"/>
        </w:numPr>
        <w:ind w:left="420" w:leftChars="0"/>
        <w:rPr>
          <w:rFonts w:hint="eastAsia"/>
          <w:color w:val="auto"/>
          <w:szCs w:val="22"/>
          <w:lang w:val="en-US" w:eastAsia="zh-CN"/>
        </w:rPr>
      </w:pPr>
      <w:r>
        <w:rPr>
          <w:rFonts w:hint="eastAsia"/>
          <w:color w:val="auto"/>
          <w:szCs w:val="22"/>
          <w:lang w:val="en-US" w:eastAsia="zh-CN"/>
        </w:rPr>
        <w:t>企业应依法签订正式的供货、工程或服务合同，合同至少应明确下列内容：</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需依从的法律法规和技术标准；</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必须遵守的安全生产要求；</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双方的责任和义务；</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争议事项的解决方案和仲裁方式。</w:t>
      </w:r>
    </w:p>
    <w:p>
      <w:pPr>
        <w:pStyle w:val="21"/>
        <w:rPr>
          <w:rFonts w:hint="eastAsia"/>
          <w:color w:val="auto"/>
          <w:lang w:val="en-US" w:eastAsia="zh-CN"/>
        </w:rPr>
      </w:pPr>
      <w:r>
        <w:rPr>
          <w:rFonts w:hint="eastAsia"/>
          <w:color w:val="auto"/>
          <w:lang w:val="en-US" w:eastAsia="zh-CN"/>
        </w:rPr>
        <w:t>企业应通过合同交底或其他信息传递的方式，确保相关人员掌握合同的内容和要求。</w:t>
      </w:r>
    </w:p>
    <w:p>
      <w:pPr>
        <w:pStyle w:val="51"/>
        <w:numPr>
          <w:ilvl w:val="0"/>
          <w:numId w:val="0"/>
        </w:numPr>
        <w:tabs>
          <w:tab w:val="center" w:pos="4201"/>
          <w:tab w:val="right" w:leader="dot" w:pos="9298"/>
        </w:tabs>
        <w:rPr>
          <w:rFonts w:hint="eastAsia"/>
          <w:color w:val="auto"/>
          <w:lang w:val="en-US" w:eastAsia="zh-CN"/>
        </w:rPr>
      </w:pPr>
      <w:bookmarkStart w:id="228" w:name="_Toc4298"/>
      <w:bookmarkStart w:id="229" w:name="_Toc17362"/>
      <w:r>
        <w:rPr>
          <w:rFonts w:hint="eastAsia"/>
          <w:color w:val="auto"/>
          <w:lang w:val="en-US" w:eastAsia="zh-CN"/>
        </w:rPr>
        <w:t>11.2.2 合同变更</w:t>
      </w:r>
      <w:bookmarkEnd w:id="228"/>
      <w:bookmarkEnd w:id="229"/>
    </w:p>
    <w:p>
      <w:pPr>
        <w:pStyle w:val="21"/>
        <w:rPr>
          <w:rFonts w:hint="eastAsia"/>
          <w:color w:val="auto"/>
          <w:szCs w:val="22"/>
          <w:lang w:val="en-US" w:eastAsia="zh-CN"/>
        </w:rPr>
      </w:pPr>
      <w:r>
        <w:rPr>
          <w:rFonts w:hint="eastAsia"/>
          <w:color w:val="auto"/>
          <w:szCs w:val="22"/>
          <w:lang w:val="en-US" w:eastAsia="zh-CN"/>
        </w:rPr>
        <w:t>施工过程中产生的变更包括来自发包方、勘察设计、监理单位的变更以及企业提出的、经认可的变更。</w:t>
      </w:r>
    </w:p>
    <w:p>
      <w:pPr>
        <w:pStyle w:val="21"/>
        <w:rPr>
          <w:rFonts w:hint="eastAsia"/>
          <w:color w:val="auto"/>
          <w:szCs w:val="22"/>
          <w:lang w:val="en-US" w:eastAsia="zh-CN"/>
        </w:rPr>
      </w:pPr>
      <w:r>
        <w:rPr>
          <w:rFonts w:hint="eastAsia"/>
          <w:color w:val="auto"/>
          <w:szCs w:val="22"/>
          <w:lang w:val="en-US" w:eastAsia="zh-CN"/>
        </w:rPr>
        <w:t>在履约过程中，企业需随时收集与工程项目有关的要求变更的信息，包括：法律法规要求、工程合同及本企业要求的变更，并：</w:t>
      </w:r>
    </w:p>
    <w:p>
      <w:pPr>
        <w:pStyle w:val="21"/>
        <w:rPr>
          <w:rFonts w:hint="eastAsia"/>
          <w:color w:val="auto"/>
          <w:szCs w:val="22"/>
          <w:lang w:val="en-US" w:eastAsia="zh-CN"/>
        </w:rPr>
      </w:pPr>
      <w:r>
        <w:rPr>
          <w:rFonts w:hint="eastAsia"/>
          <w:color w:val="auto"/>
          <w:szCs w:val="22"/>
          <w:lang w:val="en-US" w:eastAsia="zh-CN"/>
        </w:rPr>
        <w:t>a）与发包方或其代表进行沟通，内容包括：合同的履约情况、工程的变更信息、发包方反馈、发包方财产的处置和控制、制定有关应急措施的特定要求等。</w:t>
      </w:r>
    </w:p>
    <w:p>
      <w:pPr>
        <w:pStyle w:val="21"/>
        <w:rPr>
          <w:rFonts w:hint="eastAsia"/>
          <w:color w:val="auto"/>
          <w:szCs w:val="22"/>
          <w:lang w:val="en-US" w:eastAsia="zh-CN"/>
        </w:rPr>
      </w:pPr>
      <w:r>
        <w:rPr>
          <w:rFonts w:hint="eastAsia"/>
          <w:color w:val="auto"/>
          <w:szCs w:val="22"/>
          <w:lang w:val="en-US" w:eastAsia="zh-CN"/>
        </w:rPr>
        <w:t>b）确定相关方（监理、勘察、设计、供应、分包等）需求。</w:t>
      </w:r>
    </w:p>
    <w:p>
      <w:pPr>
        <w:pStyle w:val="21"/>
        <w:rPr>
          <w:rFonts w:hint="eastAsia"/>
          <w:color w:val="auto"/>
          <w:szCs w:val="22"/>
          <w:lang w:val="en-US" w:eastAsia="zh-CN"/>
        </w:rPr>
      </w:pPr>
      <w:r>
        <w:rPr>
          <w:rFonts w:hint="eastAsia"/>
          <w:color w:val="auto"/>
          <w:szCs w:val="22"/>
          <w:lang w:val="en-US" w:eastAsia="zh-CN"/>
        </w:rPr>
        <w:t>合同履行过程中发生变更，其变更的内容、程序应符合相关约定，企业应以书面形式签认，并作为合同的组成部分。</w:t>
      </w:r>
    </w:p>
    <w:p>
      <w:pPr>
        <w:pStyle w:val="21"/>
        <w:rPr>
          <w:rFonts w:hint="eastAsia"/>
          <w:color w:val="auto"/>
          <w:szCs w:val="22"/>
          <w:lang w:val="en-US" w:eastAsia="zh-CN"/>
        </w:rPr>
      </w:pPr>
      <w:r>
        <w:rPr>
          <w:rFonts w:hint="eastAsia"/>
          <w:color w:val="auto"/>
          <w:szCs w:val="22"/>
          <w:lang w:val="en-US" w:eastAsia="zh-CN"/>
        </w:rPr>
        <w:t>企业应对合同变更过程及变更所产生的风险和隐患及时进行识别、分析、评价和控制，并在规定范围内传递合同变更后的内容和要求。必要时，应修改相应的工程项目文件。</w:t>
      </w:r>
    </w:p>
    <w:p>
      <w:pPr>
        <w:pStyle w:val="51"/>
        <w:bidi w:val="0"/>
        <w:ind w:left="0" w:leftChars="0" w:firstLine="0" w:firstLineChars="0"/>
        <w:rPr>
          <w:rFonts w:hint="default"/>
          <w:color w:val="auto"/>
          <w:lang w:val="en-US" w:eastAsia="zh-CN"/>
        </w:rPr>
      </w:pPr>
      <w:bookmarkStart w:id="230" w:name="_Toc3521"/>
      <w:bookmarkStart w:id="231" w:name="_Toc16226"/>
      <w:r>
        <w:rPr>
          <w:rFonts w:hint="eastAsia"/>
          <w:color w:val="auto"/>
          <w:lang w:val="en-US" w:eastAsia="zh-CN"/>
        </w:rPr>
        <w:t>项目</w:t>
      </w:r>
      <w:r>
        <w:rPr>
          <w:rFonts w:hint="default"/>
          <w:color w:val="auto"/>
          <w:lang w:val="en-US" w:eastAsia="zh-CN"/>
        </w:rPr>
        <w:t>策划</w:t>
      </w:r>
      <w:bookmarkEnd w:id="223"/>
      <w:bookmarkEnd w:id="230"/>
      <w:bookmarkEnd w:id="231"/>
    </w:p>
    <w:p>
      <w:pPr>
        <w:pStyle w:val="21"/>
        <w:rPr>
          <w:rFonts w:hint="eastAsia"/>
          <w:color w:val="auto"/>
          <w:lang w:val="en-US" w:eastAsia="zh-CN"/>
        </w:rPr>
      </w:pPr>
      <w:r>
        <w:rPr>
          <w:rFonts w:hint="eastAsia"/>
          <w:color w:val="auto"/>
          <w:lang w:val="en-US" w:eastAsia="zh-CN"/>
        </w:rPr>
        <w:t>企业应收集工程项目管理策划所需的信息。</w:t>
      </w:r>
    </w:p>
    <w:p>
      <w:pPr>
        <w:pStyle w:val="21"/>
        <w:rPr>
          <w:rFonts w:hint="eastAsia"/>
          <w:color w:val="auto"/>
          <w:lang w:val="en-US" w:eastAsia="zh-CN"/>
        </w:rPr>
      </w:pPr>
      <w:r>
        <w:rPr>
          <w:rFonts w:hint="eastAsia"/>
          <w:color w:val="auto"/>
          <w:lang w:val="en-US" w:eastAsia="zh-CN"/>
        </w:rPr>
        <w:t>企业应实施工程项目管理策划，编制项目施工所需文件，并明确下列策划内容：</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质量、环境、安全目标；</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项目组织机构及安全管理人员、安全员等资格及职责、任职要求；</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影响工程的风险因素和相关设计、施工工艺及施工活动识别、分析与评价；</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人员、技术、施工机具及设施资源的需求和配置；</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进度计划及偏差控制措施；</w:t>
      </w:r>
    </w:p>
    <w:p>
      <w:pPr>
        <w:pStyle w:val="21"/>
        <w:numPr>
          <w:ilvl w:val="0"/>
          <w:numId w:val="53"/>
        </w:numPr>
        <w:ind w:left="420" w:leftChars="0" w:firstLine="0" w:firstLineChars="0"/>
        <w:rPr>
          <w:rFonts w:hint="eastAsia"/>
          <w:szCs w:val="22"/>
          <w:lang w:val="en-US" w:eastAsia="zh-CN"/>
        </w:rPr>
      </w:pPr>
      <w:r>
        <w:rPr>
          <w:rFonts w:hint="eastAsia"/>
          <w:color w:val="auto"/>
          <w:szCs w:val="22"/>
          <w:lang w:val="en-US" w:eastAsia="zh-CN"/>
        </w:rPr>
        <w:t>施工技术措施和采用新技术、新工艺、</w:t>
      </w:r>
      <w:r>
        <w:rPr>
          <w:rFonts w:hint="eastAsia"/>
          <w:szCs w:val="22"/>
          <w:lang w:val="en-US" w:eastAsia="zh-CN"/>
        </w:rPr>
        <w:t>新材料、新设备的专项方法；</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工程设计、施工安全检查和验收计划；</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安全问题及违规事件的报告和处理；</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突发事件的应急处置；</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信息、记录及传递要求；</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与工程建设相关方的沟通、协调方式；</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应对风险的专项措施；</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安全控制措施；</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工程施工其他要求。</w:t>
      </w:r>
    </w:p>
    <w:p>
      <w:pPr>
        <w:pStyle w:val="21"/>
        <w:numPr>
          <w:ilvl w:val="0"/>
          <w:numId w:val="0"/>
        </w:numPr>
        <w:ind w:left="420" w:leftChars="0"/>
        <w:rPr>
          <w:rFonts w:hint="eastAsia"/>
          <w:szCs w:val="22"/>
          <w:lang w:val="en-US" w:eastAsia="zh-CN"/>
        </w:rPr>
      </w:pPr>
      <w:r>
        <w:rPr>
          <w:rFonts w:hint="eastAsia"/>
          <w:szCs w:val="22"/>
          <w:lang w:val="en-US" w:eastAsia="zh-CN"/>
        </w:rPr>
        <w:t>工程项目管理策划的结果应经审批后方可实施。</w:t>
      </w:r>
    </w:p>
    <w:p>
      <w:pPr>
        <w:pStyle w:val="21"/>
        <w:numPr>
          <w:ilvl w:val="0"/>
          <w:numId w:val="0"/>
        </w:numPr>
        <w:ind w:firstLine="420" w:firstLineChars="200"/>
        <w:rPr>
          <w:rFonts w:hint="default"/>
          <w:szCs w:val="22"/>
          <w:lang w:val="en-US" w:eastAsia="zh-CN"/>
        </w:rPr>
      </w:pPr>
      <w:r>
        <w:rPr>
          <w:rFonts w:hint="eastAsia"/>
          <w:szCs w:val="22"/>
          <w:lang w:val="en-US" w:eastAsia="zh-CN"/>
        </w:rPr>
        <w:t>企业应对项目管理策划的结果实施动态管理，控制策划的更改过程，评审变更的风险和机遇，调整相关策划结果并监督实施。</w:t>
      </w:r>
    </w:p>
    <w:p>
      <w:pPr>
        <w:pStyle w:val="21"/>
        <w:rPr>
          <w:rFonts w:hint="default"/>
          <w:lang w:val="en-US" w:eastAsia="zh-CN"/>
        </w:rPr>
      </w:pPr>
      <w:r>
        <w:rPr>
          <w:rFonts w:hint="eastAsia"/>
          <w:lang w:val="en-US" w:eastAsia="zh-CN"/>
        </w:rPr>
        <w:t>企业应保留成文信息，作为策划结果的证据。</w:t>
      </w:r>
    </w:p>
    <w:p>
      <w:pPr>
        <w:pStyle w:val="51"/>
        <w:bidi w:val="0"/>
        <w:ind w:left="0" w:leftChars="0" w:firstLine="0" w:firstLineChars="0"/>
        <w:rPr>
          <w:rFonts w:hint="default"/>
          <w:lang w:val="en-US" w:eastAsia="zh-CN"/>
        </w:rPr>
      </w:pPr>
      <w:bookmarkStart w:id="232" w:name="_Toc26920"/>
      <w:bookmarkStart w:id="233" w:name="_Toc28895"/>
      <w:bookmarkStart w:id="234" w:name="_Toc12213"/>
      <w:r>
        <w:rPr>
          <w:rFonts w:hint="default"/>
          <w:lang w:val="en-US" w:eastAsia="zh-CN"/>
        </w:rPr>
        <w:t>工程设计</w:t>
      </w:r>
      <w:bookmarkEnd w:id="232"/>
      <w:bookmarkEnd w:id="233"/>
      <w:bookmarkEnd w:id="234"/>
    </w:p>
    <w:p>
      <w:pPr>
        <w:pStyle w:val="21"/>
        <w:rPr>
          <w:rFonts w:hint="eastAsia"/>
          <w:lang w:val="en-US" w:eastAsia="zh-CN"/>
        </w:rPr>
      </w:pPr>
      <w:r>
        <w:rPr>
          <w:rFonts w:hint="eastAsia"/>
          <w:lang w:val="en-US" w:eastAsia="zh-CN"/>
        </w:rPr>
        <w:t>企业应建立工程设计管理制度，按设计文件和合同约定进行工程设计，并对工程设计质量和安全进行控制。</w:t>
      </w:r>
    </w:p>
    <w:p>
      <w:pPr>
        <w:pStyle w:val="21"/>
        <w:rPr>
          <w:rFonts w:hint="eastAsia"/>
          <w:lang w:val="en-US" w:eastAsia="zh-CN"/>
        </w:rPr>
      </w:pPr>
      <w:r>
        <w:rPr>
          <w:rFonts w:hint="eastAsia"/>
          <w:lang w:val="en-US" w:eastAsia="zh-CN"/>
        </w:rPr>
        <w:t>企业应明确工程设计的依据，对其内容进行校对、审核，并保存相关记录。</w:t>
      </w:r>
    </w:p>
    <w:p>
      <w:pPr>
        <w:pStyle w:val="21"/>
        <w:rPr>
          <w:rFonts w:hint="eastAsia"/>
          <w:lang w:val="en-US" w:eastAsia="zh-CN"/>
        </w:rPr>
      </w:pPr>
      <w:r>
        <w:rPr>
          <w:rFonts w:hint="eastAsia"/>
          <w:lang w:val="en-US" w:eastAsia="zh-CN"/>
        </w:rPr>
        <w:t>企业应按设计策划安排对工程设计进行评审、验证和确认。评审、验证和确认记录应予以保存。</w:t>
      </w:r>
    </w:p>
    <w:p>
      <w:pPr>
        <w:pStyle w:val="21"/>
        <w:rPr>
          <w:rFonts w:hint="eastAsia"/>
          <w:lang w:val="en-US" w:eastAsia="zh-CN"/>
        </w:rPr>
      </w:pPr>
      <w:r>
        <w:rPr>
          <w:rFonts w:hint="eastAsia"/>
          <w:lang w:val="en-US" w:eastAsia="zh-CN"/>
        </w:rPr>
        <w:t>设计结果应满足实现预期目的，保证结构安全和使用功能所需的工程和服务特性，符合合同要求，并形成文件，经审批后使用。</w:t>
      </w:r>
    </w:p>
    <w:p>
      <w:pPr>
        <w:pStyle w:val="21"/>
        <w:rPr>
          <w:rFonts w:hint="default"/>
          <w:lang w:val="en-US" w:eastAsia="zh-CN"/>
        </w:rPr>
      </w:pPr>
      <w:r>
        <w:rPr>
          <w:rFonts w:hint="eastAsia"/>
          <w:lang w:val="en-US" w:eastAsia="zh-CN"/>
        </w:rPr>
        <w:t>企业应明确设计变更及其授权要求和批准方式，规定变更所需的评审、验证和确认程序，并保存相关记录。</w:t>
      </w:r>
    </w:p>
    <w:p>
      <w:pPr>
        <w:pStyle w:val="51"/>
        <w:bidi w:val="0"/>
        <w:ind w:left="0" w:leftChars="0" w:firstLine="0" w:firstLineChars="0"/>
        <w:rPr>
          <w:rFonts w:hint="default"/>
          <w:lang w:val="en-US" w:eastAsia="zh-CN"/>
        </w:rPr>
      </w:pPr>
      <w:bookmarkStart w:id="235" w:name="_Toc5643"/>
      <w:bookmarkStart w:id="236" w:name="_Toc31547"/>
      <w:bookmarkStart w:id="237" w:name="_Toc25186"/>
      <w:r>
        <w:rPr>
          <w:rFonts w:hint="default"/>
          <w:lang w:val="en-US" w:eastAsia="zh-CN"/>
        </w:rPr>
        <w:t>施工准备</w:t>
      </w:r>
      <w:bookmarkEnd w:id="235"/>
      <w:bookmarkEnd w:id="236"/>
      <w:bookmarkEnd w:id="237"/>
    </w:p>
    <w:p>
      <w:pPr>
        <w:pStyle w:val="21"/>
        <w:rPr>
          <w:rFonts w:hint="eastAsia"/>
          <w:lang w:val="en-US" w:eastAsia="zh-CN"/>
        </w:rPr>
      </w:pPr>
      <w:r>
        <w:rPr>
          <w:rFonts w:hint="eastAsia"/>
          <w:lang w:val="en-US" w:eastAsia="zh-CN"/>
        </w:rPr>
        <w:t>企业应依据工程项目管理策划的结果进行施工准备。</w:t>
      </w:r>
    </w:p>
    <w:p>
      <w:pPr>
        <w:pStyle w:val="21"/>
        <w:rPr>
          <w:rFonts w:hint="eastAsia"/>
          <w:lang w:val="en-US" w:eastAsia="zh-CN"/>
        </w:rPr>
      </w:pPr>
      <w:r>
        <w:rPr>
          <w:rFonts w:hint="eastAsia"/>
          <w:lang w:val="en-US" w:eastAsia="zh-CN"/>
        </w:rPr>
        <w:t>企业应根据约定接收设计文件、参加设计交底和图纸会审，并对结果进行确认。</w:t>
      </w:r>
    </w:p>
    <w:p>
      <w:pPr>
        <w:pStyle w:val="21"/>
        <w:rPr>
          <w:rFonts w:hint="eastAsia"/>
          <w:lang w:val="en-US" w:eastAsia="zh-CN"/>
        </w:rPr>
      </w:pPr>
      <w:r>
        <w:rPr>
          <w:rFonts w:hint="eastAsia"/>
          <w:lang w:val="en-US" w:eastAsia="zh-CN"/>
        </w:rPr>
        <w:t>企业应确认施工现场已具备开工条件，进行报审、报验，提出开工申请，经批准后方可开工。</w:t>
      </w:r>
    </w:p>
    <w:p>
      <w:pPr>
        <w:pStyle w:val="21"/>
        <w:rPr>
          <w:rFonts w:hint="default"/>
          <w:lang w:val="en-US" w:eastAsia="zh-CN"/>
        </w:rPr>
      </w:pPr>
      <w:r>
        <w:rPr>
          <w:rFonts w:hint="eastAsia"/>
          <w:lang w:val="en-US" w:eastAsia="zh-CN"/>
        </w:rPr>
        <w:t>企业应对工程项目管理策划结果进行交底，并应明确交底的层次、阶段及相应的对象、内容和方式，保存适当记录。</w:t>
      </w:r>
    </w:p>
    <w:p>
      <w:pPr>
        <w:pStyle w:val="51"/>
        <w:bidi w:val="0"/>
        <w:ind w:left="0" w:leftChars="0" w:firstLine="0" w:firstLineChars="0"/>
        <w:rPr>
          <w:rFonts w:hint="default"/>
          <w:lang w:val="en-US" w:eastAsia="zh-CN"/>
        </w:rPr>
      </w:pPr>
      <w:bookmarkStart w:id="238" w:name="_Toc31066"/>
      <w:bookmarkStart w:id="239" w:name="_Toc18073"/>
      <w:bookmarkStart w:id="240" w:name="_Toc26372"/>
      <w:r>
        <w:rPr>
          <w:rFonts w:hint="eastAsia"/>
          <w:lang w:val="en-US" w:eastAsia="zh-CN"/>
        </w:rPr>
        <w:t>质量管理</w:t>
      </w:r>
      <w:bookmarkEnd w:id="238"/>
      <w:bookmarkEnd w:id="239"/>
      <w:bookmarkEnd w:id="240"/>
    </w:p>
    <w:p>
      <w:pPr>
        <w:pStyle w:val="51"/>
        <w:numPr>
          <w:ilvl w:val="1"/>
          <w:numId w:val="0"/>
        </w:numPr>
        <w:bidi w:val="0"/>
        <w:ind w:leftChars="0"/>
        <w:rPr>
          <w:rFonts w:hint="default"/>
          <w:lang w:val="en-US" w:eastAsia="zh-CN"/>
        </w:rPr>
      </w:pPr>
      <w:bookmarkStart w:id="241" w:name="_Toc15626"/>
      <w:bookmarkStart w:id="242" w:name="_Toc1209"/>
      <w:bookmarkStart w:id="243" w:name="_Toc29330"/>
      <w:r>
        <w:rPr>
          <w:rFonts w:hint="eastAsia"/>
          <w:lang w:val="en-US" w:eastAsia="zh-CN"/>
        </w:rPr>
        <w:t>11.6.1质量保证</w:t>
      </w:r>
      <w:bookmarkEnd w:id="241"/>
      <w:bookmarkEnd w:id="242"/>
      <w:bookmarkEnd w:id="243"/>
    </w:p>
    <w:p>
      <w:pPr>
        <w:pStyle w:val="21"/>
        <w:rPr>
          <w:rFonts w:hint="eastAsia"/>
          <w:lang w:val="en-US" w:eastAsia="zh-CN"/>
        </w:rPr>
      </w:pPr>
      <w:r>
        <w:rPr>
          <w:rFonts w:hint="eastAsia"/>
          <w:lang w:val="en-US" w:eastAsia="zh-CN"/>
        </w:rPr>
        <w:t>企业应对施工过程进行控制，通过下列活动保证工程质量：</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正确使用工程设计文件、施工规范和验收标准，适用时，对施工过程实施样板引路；</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调配合格的操作人员；</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配备和使用工程材料、构配件和设备、施工机具、检测设备；</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进行施工和检查；</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对施工作业环境进行控制；</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合理安排施工进度；</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对成品、半成品采取保护措施；</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对突发事件实施应急响应与监控；</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对能力不足的施工过程进行监控；</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确保分包方的施工过程得到控制；</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采取措施防止人为错误；</w:t>
      </w:r>
    </w:p>
    <w:p>
      <w:pPr>
        <w:pStyle w:val="21"/>
        <w:numPr>
          <w:ilvl w:val="0"/>
          <w:numId w:val="54"/>
        </w:numPr>
        <w:ind w:left="420" w:leftChars="0" w:firstLine="0" w:firstLineChars="0"/>
        <w:rPr>
          <w:rFonts w:hint="default"/>
          <w:szCs w:val="22"/>
          <w:lang w:val="en-US" w:eastAsia="zh-CN"/>
        </w:rPr>
      </w:pPr>
      <w:r>
        <w:rPr>
          <w:rFonts w:hint="eastAsia"/>
          <w:szCs w:val="22"/>
          <w:lang w:val="en-US" w:eastAsia="zh-CN"/>
        </w:rPr>
        <w:t>保证各项变更满足规定要求。</w:t>
      </w:r>
    </w:p>
    <w:p>
      <w:pPr>
        <w:pStyle w:val="51"/>
        <w:numPr>
          <w:ilvl w:val="1"/>
          <w:numId w:val="0"/>
        </w:numPr>
        <w:bidi w:val="0"/>
        <w:ind w:leftChars="0"/>
        <w:rPr>
          <w:rFonts w:hint="default"/>
          <w:lang w:val="en-US" w:eastAsia="zh-CN"/>
        </w:rPr>
      </w:pPr>
      <w:bookmarkStart w:id="244" w:name="_Toc32259"/>
      <w:bookmarkStart w:id="245" w:name="_Toc26378"/>
      <w:bookmarkStart w:id="246" w:name="_Toc2888"/>
      <w:r>
        <w:rPr>
          <w:rFonts w:hint="eastAsia"/>
          <w:lang w:val="en-US" w:eastAsia="zh-CN"/>
        </w:rPr>
        <w:t>11.6.2过程确认</w:t>
      </w:r>
      <w:bookmarkEnd w:id="244"/>
      <w:bookmarkEnd w:id="245"/>
      <w:bookmarkEnd w:id="246"/>
    </w:p>
    <w:p>
      <w:pPr>
        <w:pStyle w:val="21"/>
        <w:numPr>
          <w:ilvl w:val="0"/>
          <w:numId w:val="0"/>
        </w:numPr>
        <w:ind w:firstLine="420" w:firstLineChars="200"/>
        <w:rPr>
          <w:rFonts w:hint="eastAsia"/>
          <w:szCs w:val="22"/>
          <w:lang w:val="en-US" w:eastAsia="zh-CN"/>
        </w:rPr>
      </w:pPr>
      <w:r>
        <w:rPr>
          <w:rFonts w:hint="eastAsia"/>
          <w:szCs w:val="22"/>
          <w:lang w:val="en-US" w:eastAsia="zh-CN"/>
        </w:rPr>
        <w:t>当施工过程的结果不能通过其后工程的检验和试验完全验证时，企业应在工程实施前或实施中进行下列确认：</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对技术文件和工艺进行评审；</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对施工机具与设施、人员的能力进行核实；</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定期或在人员、材料、工艺参数、设备、环境发生变化时，重新进行确认；</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隐蔽工程、危险性较大分部分项工程等重要阶段的安全旁站；</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记录必要的确认活动。</w:t>
      </w:r>
    </w:p>
    <w:p>
      <w:pPr>
        <w:pStyle w:val="21"/>
        <w:numPr>
          <w:ilvl w:val="0"/>
          <w:numId w:val="0"/>
        </w:numPr>
        <w:ind w:firstLine="420" w:firstLineChars="200"/>
        <w:rPr>
          <w:rFonts w:hint="eastAsia"/>
          <w:szCs w:val="22"/>
          <w:lang w:val="en-US" w:eastAsia="zh-CN"/>
        </w:rPr>
      </w:pPr>
      <w:r>
        <w:rPr>
          <w:rFonts w:hint="eastAsia"/>
          <w:szCs w:val="22"/>
          <w:lang w:val="en-US" w:eastAsia="zh-CN"/>
        </w:rPr>
        <w:t>企业应负责工程移交期间的防护管理。</w:t>
      </w:r>
    </w:p>
    <w:p>
      <w:pPr>
        <w:pStyle w:val="21"/>
        <w:numPr>
          <w:ilvl w:val="0"/>
          <w:numId w:val="0"/>
        </w:numPr>
        <w:ind w:firstLine="420" w:firstLineChars="200"/>
        <w:rPr>
          <w:rFonts w:hint="eastAsia"/>
          <w:szCs w:val="22"/>
          <w:lang w:val="en-US" w:eastAsia="zh-CN"/>
        </w:rPr>
      </w:pPr>
      <w:r>
        <w:rPr>
          <w:rFonts w:hint="eastAsia"/>
          <w:szCs w:val="22"/>
          <w:lang w:val="en-US" w:eastAsia="zh-CN"/>
        </w:rPr>
        <w:t>企业应根据施工状态的控制需求进行施工过程标识，重要过程应具有可追溯性。</w:t>
      </w:r>
    </w:p>
    <w:p>
      <w:pPr>
        <w:pStyle w:val="21"/>
        <w:numPr>
          <w:ilvl w:val="0"/>
          <w:numId w:val="0"/>
        </w:numPr>
        <w:ind w:firstLine="420" w:firstLineChars="200"/>
        <w:rPr>
          <w:rFonts w:hint="default"/>
          <w:szCs w:val="22"/>
          <w:lang w:val="en-US" w:eastAsia="zh-CN"/>
        </w:rPr>
      </w:pPr>
      <w:r>
        <w:rPr>
          <w:rFonts w:hint="eastAsia"/>
          <w:szCs w:val="22"/>
          <w:lang w:val="en-US" w:eastAsia="zh-CN"/>
        </w:rPr>
        <w:t>企业应按约定对工程项目使用的发包方和供方财产进行妥善管理。</w:t>
      </w:r>
    </w:p>
    <w:p>
      <w:pPr>
        <w:pStyle w:val="51"/>
        <w:bidi w:val="0"/>
        <w:ind w:left="0" w:leftChars="0" w:firstLine="0" w:firstLineChars="0"/>
        <w:rPr>
          <w:rFonts w:hint="eastAsia"/>
          <w:lang w:val="en-US" w:eastAsia="zh-CN"/>
        </w:rPr>
      </w:pPr>
      <w:bookmarkStart w:id="247" w:name="_Toc28196"/>
      <w:bookmarkStart w:id="248" w:name="_Toc12050"/>
      <w:bookmarkStart w:id="249" w:name="_Toc3599"/>
      <w:r>
        <w:rPr>
          <w:rFonts w:hint="eastAsia"/>
          <w:lang w:val="en-US" w:eastAsia="zh-CN"/>
        </w:rPr>
        <w:t>进度管理</w:t>
      </w:r>
      <w:bookmarkEnd w:id="247"/>
      <w:bookmarkEnd w:id="248"/>
      <w:bookmarkEnd w:id="249"/>
    </w:p>
    <w:p>
      <w:pPr>
        <w:pStyle w:val="51"/>
        <w:numPr>
          <w:ilvl w:val="1"/>
          <w:numId w:val="0"/>
        </w:numPr>
        <w:bidi w:val="0"/>
        <w:ind w:leftChars="0"/>
        <w:rPr>
          <w:rFonts w:hint="default"/>
          <w:lang w:val="en-US" w:eastAsia="zh-CN"/>
        </w:rPr>
      </w:pPr>
      <w:bookmarkStart w:id="250" w:name="_Toc2049"/>
      <w:bookmarkStart w:id="251" w:name="_Toc5862"/>
      <w:bookmarkStart w:id="252" w:name="_Toc28820"/>
      <w:r>
        <w:rPr>
          <w:rFonts w:hint="eastAsia"/>
          <w:lang w:val="en-US" w:eastAsia="zh-CN"/>
        </w:rPr>
        <w:t>11.7.1进度目标</w:t>
      </w:r>
      <w:bookmarkEnd w:id="250"/>
      <w:bookmarkEnd w:id="251"/>
      <w:bookmarkEnd w:id="252"/>
    </w:p>
    <w:p>
      <w:pPr>
        <w:pStyle w:val="21"/>
        <w:rPr>
          <w:rFonts w:hint="eastAsia"/>
          <w:lang w:val="en-US" w:eastAsia="zh-CN"/>
        </w:rPr>
      </w:pPr>
      <w:r>
        <w:rPr>
          <w:rFonts w:hint="eastAsia"/>
          <w:lang w:val="en-US" w:eastAsia="zh-CN"/>
        </w:rPr>
        <w:t>企业应根据进度控制要求和工程项目关键节点控制的要求，制订进度计划，确定进度控制目标，并考虑以下影响：</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施工合同；</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工程前期资料；</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工程内容、范围、性质；</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工程量及工程地点；</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交通、环境、气候。</w:t>
      </w:r>
    </w:p>
    <w:p>
      <w:pPr>
        <w:pStyle w:val="51"/>
        <w:numPr>
          <w:ilvl w:val="1"/>
          <w:numId w:val="0"/>
        </w:numPr>
        <w:bidi w:val="0"/>
        <w:ind w:leftChars="0"/>
        <w:rPr>
          <w:rFonts w:hint="eastAsia"/>
          <w:lang w:val="en-US" w:eastAsia="zh-CN"/>
        </w:rPr>
      </w:pPr>
      <w:bookmarkStart w:id="253" w:name="_Toc6237"/>
      <w:bookmarkStart w:id="254" w:name="_Toc23599"/>
      <w:bookmarkStart w:id="255" w:name="_Toc18894"/>
      <w:r>
        <w:rPr>
          <w:rFonts w:hint="eastAsia"/>
          <w:lang w:val="en-US" w:eastAsia="zh-CN"/>
        </w:rPr>
        <w:t>11.7.2进度风险</w:t>
      </w:r>
      <w:bookmarkEnd w:id="253"/>
      <w:bookmarkEnd w:id="254"/>
      <w:bookmarkEnd w:id="255"/>
    </w:p>
    <w:p>
      <w:pPr>
        <w:pStyle w:val="21"/>
        <w:rPr>
          <w:rFonts w:hint="eastAsia"/>
          <w:lang w:val="en-US" w:eastAsia="zh-CN"/>
        </w:rPr>
      </w:pPr>
      <w:r>
        <w:rPr>
          <w:rFonts w:hint="eastAsia"/>
          <w:lang w:val="en-US" w:eastAsia="zh-CN"/>
        </w:rPr>
        <w:t>企业应评估影响工程进度的相关风险，评估风险时考虑以下方面影响：</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工程设计；</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施工技术；</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自然环境；</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社会环境；</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组织管理；</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材料、设备供应；</w:t>
      </w:r>
    </w:p>
    <w:p>
      <w:pPr>
        <w:pStyle w:val="21"/>
        <w:numPr>
          <w:ilvl w:val="0"/>
          <w:numId w:val="57"/>
        </w:numPr>
        <w:ind w:left="420" w:leftChars="0" w:firstLine="0" w:firstLineChars="0"/>
        <w:rPr>
          <w:rFonts w:hint="default"/>
          <w:szCs w:val="22"/>
          <w:lang w:val="en-US" w:eastAsia="zh-CN"/>
        </w:rPr>
      </w:pPr>
      <w:r>
        <w:rPr>
          <w:rFonts w:hint="eastAsia"/>
          <w:szCs w:val="22"/>
          <w:lang w:val="en-US" w:eastAsia="zh-CN"/>
        </w:rPr>
        <w:t>资金投入等。</w:t>
      </w:r>
    </w:p>
    <w:p>
      <w:pPr>
        <w:pStyle w:val="51"/>
        <w:numPr>
          <w:ilvl w:val="1"/>
          <w:numId w:val="0"/>
        </w:numPr>
        <w:bidi w:val="0"/>
        <w:ind w:leftChars="0"/>
        <w:rPr>
          <w:rFonts w:hint="default"/>
          <w:lang w:val="en-US" w:eastAsia="zh-CN"/>
        </w:rPr>
      </w:pPr>
      <w:bookmarkStart w:id="256" w:name="_Toc14176"/>
      <w:bookmarkStart w:id="257" w:name="_Toc21034"/>
      <w:bookmarkStart w:id="258" w:name="_Toc1536"/>
      <w:r>
        <w:rPr>
          <w:rFonts w:hint="eastAsia"/>
          <w:lang w:val="en-US" w:eastAsia="zh-CN"/>
        </w:rPr>
        <w:t>11.7.3进度计划</w:t>
      </w:r>
      <w:bookmarkEnd w:id="256"/>
      <w:bookmarkEnd w:id="257"/>
      <w:bookmarkEnd w:id="258"/>
    </w:p>
    <w:p>
      <w:pPr>
        <w:pStyle w:val="21"/>
        <w:rPr>
          <w:rFonts w:hint="eastAsia"/>
          <w:lang w:val="en-US" w:eastAsia="zh-CN"/>
        </w:rPr>
      </w:pPr>
      <w:r>
        <w:rPr>
          <w:rFonts w:hint="eastAsia"/>
          <w:lang w:val="en-US" w:eastAsia="zh-CN"/>
        </w:rPr>
        <w:t>企业应根据评估结果制订施工进度控制计划，明确进度检查、统计周期、数据采集方式、进度报表格式、统计分析方法、控制网络图等要素，进度控制方案的主要内容包括但不限于以下：</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进度控制相关人员的职责分工；</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施工进度控制目标分解；</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施工进度控制目标风险分析；</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施工进度控制的主要工作内容；</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进度控制的流程；</w:t>
      </w:r>
    </w:p>
    <w:p>
      <w:pPr>
        <w:pStyle w:val="21"/>
        <w:numPr>
          <w:ilvl w:val="0"/>
          <w:numId w:val="58"/>
        </w:numPr>
        <w:ind w:left="420" w:leftChars="0" w:firstLine="0" w:firstLineChars="0"/>
        <w:rPr>
          <w:rFonts w:hint="default"/>
          <w:szCs w:val="22"/>
          <w:lang w:val="en-US" w:eastAsia="zh-CN"/>
        </w:rPr>
      </w:pPr>
      <w:r>
        <w:rPr>
          <w:rFonts w:hint="eastAsia"/>
          <w:szCs w:val="22"/>
          <w:lang w:val="en-US" w:eastAsia="zh-CN"/>
        </w:rPr>
        <w:t>进度控制的具体措施。</w:t>
      </w:r>
    </w:p>
    <w:p>
      <w:pPr>
        <w:pStyle w:val="51"/>
        <w:numPr>
          <w:ilvl w:val="1"/>
          <w:numId w:val="0"/>
        </w:numPr>
        <w:bidi w:val="0"/>
        <w:ind w:leftChars="0"/>
        <w:rPr>
          <w:rFonts w:hint="eastAsia"/>
          <w:lang w:val="en-US" w:eastAsia="zh-CN"/>
        </w:rPr>
      </w:pPr>
      <w:bookmarkStart w:id="259" w:name="_Toc10814"/>
      <w:bookmarkStart w:id="260" w:name="_Toc32091"/>
      <w:bookmarkStart w:id="261" w:name="_Toc18947"/>
      <w:r>
        <w:rPr>
          <w:rFonts w:hint="eastAsia"/>
          <w:lang w:val="en-US" w:eastAsia="zh-CN"/>
        </w:rPr>
        <w:t>11.7.4进度控制</w:t>
      </w:r>
      <w:bookmarkEnd w:id="259"/>
      <w:bookmarkEnd w:id="260"/>
      <w:bookmarkEnd w:id="261"/>
    </w:p>
    <w:p>
      <w:pPr>
        <w:pStyle w:val="21"/>
        <w:rPr>
          <w:rFonts w:hint="eastAsia"/>
          <w:lang w:val="en-US" w:eastAsia="zh-CN"/>
        </w:rPr>
      </w:pPr>
      <w:r>
        <w:rPr>
          <w:rFonts w:hint="eastAsia"/>
          <w:lang w:val="en-US" w:eastAsia="zh-CN"/>
        </w:rPr>
        <w:t>企业应对进度进行有效控制，采取措施可包括：</w:t>
      </w:r>
    </w:p>
    <w:p>
      <w:pPr>
        <w:pStyle w:val="21"/>
        <w:numPr>
          <w:ilvl w:val="0"/>
          <w:numId w:val="59"/>
        </w:numPr>
        <w:ind w:left="420" w:leftChars="0" w:firstLine="0" w:firstLineChars="0"/>
        <w:rPr>
          <w:rFonts w:hint="eastAsia"/>
          <w:szCs w:val="22"/>
          <w:lang w:val="en-US" w:eastAsia="zh-CN"/>
        </w:rPr>
      </w:pPr>
      <w:r>
        <w:rPr>
          <w:rFonts w:hint="eastAsia"/>
          <w:szCs w:val="22"/>
          <w:lang w:val="en-US" w:eastAsia="zh-CN"/>
        </w:rPr>
        <w:t>根据审批的施工进度计划和设计图纸交付计划对工程实际进度进行跟踪检查，掌握现场人员、材料、设备、机械环境等情况；对进度检查结果与进度计划进行比较、分析；</w:t>
      </w:r>
    </w:p>
    <w:p>
      <w:pPr>
        <w:pStyle w:val="21"/>
        <w:numPr>
          <w:ilvl w:val="0"/>
          <w:numId w:val="59"/>
        </w:numPr>
        <w:ind w:left="420" w:leftChars="0" w:firstLine="0" w:firstLineChars="0"/>
        <w:rPr>
          <w:rFonts w:hint="eastAsia"/>
          <w:szCs w:val="22"/>
          <w:lang w:val="en-US" w:eastAsia="zh-CN"/>
        </w:rPr>
      </w:pPr>
      <w:r>
        <w:rPr>
          <w:rFonts w:hint="eastAsia"/>
          <w:szCs w:val="22"/>
          <w:lang w:val="en-US" w:eastAsia="zh-CN"/>
        </w:rPr>
        <w:t>当工程实际与进度计划发生偏差时通知责任单位及时采取纠正措施，以实现进度目标；工程实际进度与计划进度严重滞后时，通报相关单位，并责令召开专题会议分析滞后产生原因，提出改进意见；</w:t>
      </w:r>
    </w:p>
    <w:p>
      <w:pPr>
        <w:pStyle w:val="21"/>
        <w:numPr>
          <w:ilvl w:val="0"/>
          <w:numId w:val="59"/>
        </w:numPr>
        <w:ind w:left="420" w:leftChars="0" w:firstLine="0" w:firstLineChars="0"/>
        <w:rPr>
          <w:rFonts w:hint="default"/>
          <w:szCs w:val="22"/>
          <w:lang w:val="en-US" w:eastAsia="zh-CN"/>
        </w:rPr>
      </w:pPr>
      <w:r>
        <w:rPr>
          <w:rFonts w:hint="eastAsia"/>
          <w:szCs w:val="22"/>
          <w:lang w:val="en-US" w:eastAsia="zh-CN"/>
        </w:rPr>
        <w:t>定期报告工程实际进展情况，分析实际情况与计划进度的偏差，通报所采取的控制措施，以及措施的执行情况。</w:t>
      </w:r>
    </w:p>
    <w:p>
      <w:pPr>
        <w:pStyle w:val="51"/>
        <w:bidi w:val="0"/>
        <w:ind w:left="0" w:leftChars="0" w:firstLine="0" w:firstLineChars="0"/>
        <w:rPr>
          <w:rFonts w:hint="eastAsia"/>
          <w:lang w:val="en-US" w:eastAsia="zh-CN"/>
        </w:rPr>
      </w:pPr>
      <w:bookmarkStart w:id="262" w:name="_Toc21355"/>
      <w:bookmarkStart w:id="263" w:name="_Toc1700"/>
      <w:bookmarkStart w:id="264" w:name="_Toc25419"/>
      <w:r>
        <w:rPr>
          <w:rFonts w:hint="eastAsia"/>
          <w:lang w:val="en-US" w:eastAsia="zh-CN"/>
        </w:rPr>
        <w:t>安全管理</w:t>
      </w:r>
      <w:bookmarkEnd w:id="262"/>
      <w:bookmarkEnd w:id="263"/>
      <w:bookmarkEnd w:id="264"/>
    </w:p>
    <w:p>
      <w:pPr>
        <w:pStyle w:val="51"/>
        <w:numPr>
          <w:ilvl w:val="1"/>
          <w:numId w:val="0"/>
        </w:numPr>
        <w:bidi w:val="0"/>
        <w:ind w:leftChars="0"/>
        <w:rPr>
          <w:rFonts w:hint="eastAsia"/>
          <w:highlight w:val="none"/>
          <w:lang w:val="en-US" w:eastAsia="zh-CN"/>
        </w:rPr>
      </w:pPr>
      <w:bookmarkStart w:id="265" w:name="_Toc847"/>
      <w:bookmarkStart w:id="266" w:name="_Toc19327"/>
      <w:r>
        <w:rPr>
          <w:rFonts w:hint="eastAsia"/>
          <w:highlight w:val="none"/>
          <w:lang w:val="en-US" w:eastAsia="zh-CN"/>
        </w:rPr>
        <w:t>11.8.1基础管理</w:t>
      </w:r>
      <w:bookmarkEnd w:id="265"/>
      <w:bookmarkEnd w:id="266"/>
    </w:p>
    <w:p>
      <w:pPr>
        <w:pStyle w:val="21"/>
        <w:rPr>
          <w:rFonts w:hint="eastAsia"/>
          <w:highlight w:val="none"/>
          <w:lang w:val="en-US" w:eastAsia="zh-CN"/>
        </w:rPr>
      </w:pPr>
      <w:r>
        <w:rPr>
          <w:rFonts w:hint="eastAsia"/>
          <w:highlight w:val="none"/>
          <w:lang w:val="en-US" w:eastAsia="zh-CN"/>
        </w:rPr>
        <w:t>企业应按项目策划中的安全控制要求对安全管理进行作业前控制，确保施工准备阶段安全。</w:t>
      </w:r>
    </w:p>
    <w:p>
      <w:pPr>
        <w:pStyle w:val="21"/>
        <w:rPr>
          <w:rFonts w:hint="eastAsia"/>
          <w:highlight w:val="none"/>
          <w:lang w:val="en-US" w:eastAsia="zh-CN"/>
        </w:rPr>
      </w:pPr>
      <w:r>
        <w:rPr>
          <w:rFonts w:hint="eastAsia"/>
          <w:highlight w:val="none"/>
          <w:lang w:val="en-US" w:eastAsia="zh-CN"/>
        </w:rPr>
        <w:t>企业应编制安全工作总体计划，包括但不限于以下：</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项目作业过程风险评估结果；</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项目施工计划；</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建设方相关要求；</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作业风险差异化分析结果；</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定期安全检查计划，包括作业指导书、安全交底、安全措施的落实、作业人员行为、施工机械、设备、安全工器具、个人防护、作业环境、现场旁站、监护等。</w:t>
      </w:r>
    </w:p>
    <w:p>
      <w:pPr>
        <w:pStyle w:val="21"/>
        <w:rPr>
          <w:rFonts w:hint="eastAsia"/>
          <w:highlight w:val="none"/>
          <w:lang w:val="en-US" w:eastAsia="zh-CN"/>
        </w:rPr>
      </w:pPr>
      <w:r>
        <w:rPr>
          <w:rFonts w:hint="eastAsia"/>
          <w:highlight w:val="none"/>
          <w:lang w:val="en-US" w:eastAsia="zh-CN"/>
        </w:rPr>
        <w:t>企业应根据工程风险制定安全生产规章制度和操作规程，保证安全生产条件所需资金的投入。</w:t>
      </w:r>
    </w:p>
    <w:p>
      <w:pPr>
        <w:pStyle w:val="21"/>
        <w:rPr>
          <w:rFonts w:hint="eastAsia"/>
          <w:highlight w:val="none"/>
          <w:lang w:val="en-US" w:eastAsia="zh-CN"/>
        </w:rPr>
      </w:pPr>
      <w:r>
        <w:rPr>
          <w:rFonts w:hint="eastAsia"/>
          <w:highlight w:val="none"/>
          <w:lang w:val="en-US" w:eastAsia="zh-CN"/>
        </w:rPr>
        <w:t>企业采购、租赁的安全防护用具、机械设备、施工机具及配件，应具有生产（制造）许可证、产品合格证，并在进入施工现场前进行查验。</w:t>
      </w:r>
    </w:p>
    <w:p>
      <w:pPr>
        <w:pStyle w:val="21"/>
        <w:rPr>
          <w:rFonts w:hint="eastAsia"/>
          <w:szCs w:val="22"/>
          <w:highlight w:val="none"/>
          <w:lang w:val="en-US" w:eastAsia="zh-CN"/>
        </w:rPr>
      </w:pPr>
      <w:r>
        <w:rPr>
          <w:rFonts w:hint="eastAsia"/>
          <w:szCs w:val="22"/>
          <w:highlight w:val="none"/>
          <w:lang w:val="en-US" w:eastAsia="zh-CN"/>
        </w:rPr>
        <w:t>企业应明确参建方安全责任，</w:t>
      </w:r>
      <w:r>
        <w:rPr>
          <w:rFonts w:hint="eastAsia"/>
          <w:szCs w:val="22"/>
          <w:highlight w:val="none"/>
        </w:rPr>
        <w:t>建设工程实行施工总承包的，由总承包单位对施工现场的安全生产负总责</w:t>
      </w:r>
      <w:r>
        <w:rPr>
          <w:rFonts w:hint="eastAsia"/>
          <w:szCs w:val="22"/>
          <w:highlight w:val="none"/>
          <w:lang w:eastAsia="zh-CN"/>
        </w:rPr>
        <w:t>，</w:t>
      </w:r>
      <w:r>
        <w:rPr>
          <w:rFonts w:hint="eastAsia"/>
          <w:szCs w:val="22"/>
          <w:highlight w:val="none"/>
          <w:lang w:val="en-US" w:eastAsia="zh-CN"/>
        </w:rPr>
        <w:t>并：</w:t>
      </w:r>
    </w:p>
    <w:p>
      <w:pPr>
        <w:pStyle w:val="21"/>
        <w:numPr>
          <w:ilvl w:val="0"/>
          <w:numId w:val="0"/>
        </w:numPr>
        <w:ind w:left="420" w:leftChars="0"/>
        <w:rPr>
          <w:rFonts w:hint="eastAsia"/>
          <w:szCs w:val="22"/>
          <w:highlight w:val="none"/>
          <w:lang w:val="en-US" w:eastAsia="zh-CN"/>
        </w:rPr>
      </w:pPr>
      <w:r>
        <w:rPr>
          <w:rFonts w:hint="eastAsia"/>
          <w:szCs w:val="22"/>
          <w:highlight w:val="none"/>
          <w:lang w:val="en-US" w:eastAsia="zh-CN"/>
        </w:rPr>
        <w:t>——总承包单位和分包单位对分包工程的安全生产承担连带责任；</w:t>
      </w:r>
    </w:p>
    <w:p>
      <w:pPr>
        <w:pStyle w:val="21"/>
        <w:numPr>
          <w:ilvl w:val="0"/>
          <w:numId w:val="0"/>
        </w:numPr>
        <w:ind w:left="420" w:leftChars="0"/>
        <w:rPr>
          <w:rFonts w:hint="eastAsia"/>
          <w:szCs w:val="22"/>
          <w:highlight w:val="none"/>
        </w:rPr>
      </w:pPr>
      <w:r>
        <w:rPr>
          <w:rFonts w:hint="eastAsia"/>
          <w:szCs w:val="22"/>
          <w:highlight w:val="none"/>
          <w:lang w:val="en-US" w:eastAsia="zh-CN"/>
        </w:rPr>
        <w:t>——分包单位</w:t>
      </w:r>
      <w:r>
        <w:rPr>
          <w:rFonts w:hint="eastAsia"/>
          <w:szCs w:val="22"/>
          <w:highlight w:val="none"/>
        </w:rPr>
        <w:t>应服从总承包单位的安全生产管理，分包单位不服从管理导致生产安全事故的，由分包单位承担主要责任。</w:t>
      </w:r>
    </w:p>
    <w:p>
      <w:pPr>
        <w:pStyle w:val="21"/>
        <w:rPr>
          <w:rFonts w:hint="eastAsia"/>
          <w:szCs w:val="22"/>
          <w:highlight w:val="none"/>
        </w:rPr>
      </w:pPr>
      <w:r>
        <w:rPr>
          <w:rFonts w:hint="eastAsia"/>
          <w:szCs w:val="22"/>
          <w:highlight w:val="none"/>
        </w:rPr>
        <w:t>作业人员进入新的岗位或者新的施工现场前，应接受安全生产教育培训。未经教育培训或者教育培训考核不合格的人员，不得上岗作业。</w:t>
      </w:r>
    </w:p>
    <w:p>
      <w:pPr>
        <w:pStyle w:val="21"/>
        <w:rPr>
          <w:rFonts w:hint="eastAsia"/>
          <w:highlight w:val="none"/>
          <w:lang w:val="en-US" w:eastAsia="zh-CN"/>
        </w:rPr>
      </w:pPr>
      <w:r>
        <w:rPr>
          <w:rFonts w:hint="eastAsia"/>
          <w:highlight w:val="none"/>
          <w:lang w:val="en-US" w:eastAsia="zh-CN"/>
        </w:rPr>
        <w:t>作业前，项目技术人员应对有关安全施工的技术要求向作业班组、作业人员作出交底说明，并由双方签字确认。</w:t>
      </w:r>
    </w:p>
    <w:p>
      <w:pPr>
        <w:pStyle w:val="21"/>
        <w:rPr>
          <w:rFonts w:hint="eastAsia"/>
          <w:highlight w:val="none"/>
          <w:lang w:val="en-US" w:eastAsia="zh-CN"/>
        </w:rPr>
      </w:pPr>
      <w:r>
        <w:rPr>
          <w:rFonts w:hint="eastAsia"/>
          <w:highlight w:val="none"/>
          <w:lang w:val="en-US" w:eastAsia="zh-CN"/>
        </w:rPr>
        <w:t>企业在采用新技术、新工艺、新设备、新材料时，应对作业人员进行相应的安全生产教育培训。</w:t>
      </w:r>
    </w:p>
    <w:p>
      <w:pPr>
        <w:pStyle w:val="21"/>
        <w:rPr>
          <w:rFonts w:hint="eastAsia"/>
          <w:highlight w:val="none"/>
          <w:lang w:val="en-US" w:eastAsia="zh-CN"/>
        </w:rPr>
      </w:pPr>
      <w:r>
        <w:rPr>
          <w:rFonts w:hint="eastAsia"/>
          <w:highlight w:val="none"/>
          <w:lang w:val="en-US" w:eastAsia="zh-CN"/>
        </w:rPr>
        <w:t>企业应为施工现场从事危险作业的人员办理意外伤害保险。</w:t>
      </w:r>
    </w:p>
    <w:p>
      <w:pPr>
        <w:pStyle w:val="51"/>
        <w:numPr>
          <w:ilvl w:val="1"/>
          <w:numId w:val="0"/>
        </w:numPr>
        <w:bidi w:val="0"/>
        <w:ind w:leftChars="0"/>
        <w:rPr>
          <w:rFonts w:hint="eastAsia"/>
          <w:highlight w:val="none"/>
          <w:lang w:val="en-US" w:eastAsia="zh-CN"/>
        </w:rPr>
      </w:pPr>
      <w:bookmarkStart w:id="267" w:name="_Toc5880"/>
      <w:bookmarkStart w:id="268" w:name="_Toc348"/>
      <w:r>
        <w:rPr>
          <w:rFonts w:hint="eastAsia"/>
          <w:highlight w:val="none"/>
          <w:lang w:val="en-US" w:eastAsia="zh-CN"/>
        </w:rPr>
        <w:t>11.8.2过程保障</w:t>
      </w:r>
      <w:bookmarkEnd w:id="267"/>
      <w:bookmarkEnd w:id="268"/>
    </w:p>
    <w:p>
      <w:pPr>
        <w:pStyle w:val="21"/>
        <w:rPr>
          <w:rFonts w:hint="eastAsia"/>
          <w:highlight w:val="none"/>
          <w:lang w:val="en-US" w:eastAsia="zh-CN"/>
        </w:rPr>
      </w:pPr>
      <w:r>
        <w:rPr>
          <w:rFonts w:hint="eastAsia"/>
          <w:highlight w:val="none"/>
          <w:lang w:val="en-US" w:eastAsia="zh-CN"/>
        </w:rPr>
        <w:t>企业应根据项目策划中的安全控制要求对安全管理进行有效控制，确保施工安全。</w:t>
      </w:r>
    </w:p>
    <w:p>
      <w:pPr>
        <w:pStyle w:val="21"/>
        <w:rPr>
          <w:rFonts w:hint="eastAsia"/>
          <w:highlight w:val="none"/>
          <w:lang w:val="en-US" w:eastAsia="zh-CN"/>
        </w:rPr>
      </w:pPr>
      <w:r>
        <w:rPr>
          <w:rFonts w:hint="eastAsia"/>
          <w:highlight w:val="none"/>
          <w:lang w:val="en-US" w:eastAsia="zh-CN"/>
        </w:rPr>
        <w:t>企业应对作业过程进行风险评估与控制。</w:t>
      </w:r>
    </w:p>
    <w:p>
      <w:pPr>
        <w:pStyle w:val="21"/>
        <w:rPr>
          <w:rFonts w:hint="eastAsia"/>
          <w:highlight w:val="none"/>
          <w:lang w:val="en-US" w:eastAsia="zh-CN"/>
        </w:rPr>
      </w:pPr>
      <w:r>
        <w:rPr>
          <w:rFonts w:hint="eastAsia"/>
          <w:highlight w:val="none"/>
          <w:lang w:val="en-US" w:eastAsia="zh-CN"/>
        </w:rPr>
        <w:t>对达到一定规模的危险性较大的分部分项工程应编制专项施工方案、严格审批后实施，由专职安全生产管理人员进行现场监督。</w:t>
      </w:r>
    </w:p>
    <w:p>
      <w:pPr>
        <w:pStyle w:val="21"/>
        <w:rPr>
          <w:rFonts w:hint="eastAsia"/>
          <w:highlight w:val="none"/>
          <w:lang w:val="en-US" w:eastAsia="zh-CN"/>
        </w:rPr>
      </w:pPr>
      <w:r>
        <w:rPr>
          <w:rFonts w:hint="eastAsia"/>
          <w:highlight w:val="none"/>
          <w:lang w:val="en-US" w:eastAsia="zh-CN"/>
        </w:rPr>
        <w:t>企业应向作业人员提供安全防护用具和安全防护服装，并书面告知危险岗位的操作规程和违章操作的危害。</w:t>
      </w:r>
    </w:p>
    <w:p>
      <w:pPr>
        <w:pStyle w:val="21"/>
        <w:rPr>
          <w:rFonts w:hint="eastAsia"/>
          <w:highlight w:val="none"/>
          <w:lang w:val="en-US" w:eastAsia="zh-CN"/>
        </w:rPr>
      </w:pPr>
      <w:r>
        <w:rPr>
          <w:rFonts w:hint="eastAsia"/>
          <w:highlight w:val="none"/>
          <w:lang w:val="en-US" w:eastAsia="zh-CN"/>
        </w:rPr>
        <w:t>企业的施工机具应定期进行检查、维修和保养，建立相应的资料档案，并按照国家有关规定及时报废。</w:t>
      </w:r>
    </w:p>
    <w:p>
      <w:pPr>
        <w:pStyle w:val="21"/>
        <w:rPr>
          <w:rFonts w:hint="eastAsia"/>
          <w:highlight w:val="none"/>
          <w:lang w:val="en-US" w:eastAsia="zh-CN"/>
        </w:rPr>
      </w:pPr>
      <w:r>
        <w:rPr>
          <w:rFonts w:hint="eastAsia"/>
          <w:highlight w:val="none"/>
          <w:lang w:val="en-US" w:eastAsia="zh-CN"/>
        </w:rPr>
        <w:t>企业对因建设工程施工可能造成损害的毗邻建筑物、构筑物和地下管线等，应采取专项防护措施。</w:t>
      </w:r>
    </w:p>
    <w:p>
      <w:pPr>
        <w:pStyle w:val="21"/>
        <w:rPr>
          <w:rFonts w:hint="eastAsia"/>
          <w:highlight w:val="none"/>
          <w:lang w:val="en-US" w:eastAsia="zh-CN"/>
        </w:rPr>
      </w:pPr>
      <w:r>
        <w:rPr>
          <w:rFonts w:hint="eastAsia"/>
          <w:highlight w:val="none"/>
          <w:lang w:val="en-US" w:eastAsia="zh-CN"/>
        </w:rPr>
        <w:t>企业应在施工现场危险部位设置明显的安全警示标志。安全警示标志必须符合国家标准。</w:t>
      </w:r>
    </w:p>
    <w:p>
      <w:pPr>
        <w:pStyle w:val="21"/>
        <w:rPr>
          <w:rFonts w:hint="eastAsia"/>
          <w:highlight w:val="none"/>
          <w:lang w:val="en-US" w:eastAsia="zh-CN"/>
        </w:rPr>
      </w:pPr>
      <w:r>
        <w:rPr>
          <w:rFonts w:hint="eastAsia"/>
          <w:highlight w:val="none"/>
          <w:lang w:val="en-US" w:eastAsia="zh-CN"/>
        </w:rPr>
        <w:t>企业应对工程进行定期和专项安全检查，并做好检查记录，发现事故隐患及时报告。对违章指挥、违章操作的，应立即制止。</w:t>
      </w:r>
    </w:p>
    <w:p>
      <w:pPr>
        <w:pStyle w:val="21"/>
        <w:rPr>
          <w:rFonts w:hint="eastAsia"/>
          <w:highlight w:val="none"/>
          <w:lang w:val="en-US" w:eastAsia="zh-CN"/>
        </w:rPr>
      </w:pPr>
      <w:r>
        <w:rPr>
          <w:rFonts w:hint="eastAsia"/>
          <w:highlight w:val="none"/>
          <w:lang w:val="en-US" w:eastAsia="zh-CN"/>
        </w:rPr>
        <w:t>企业应根据建设工程施工的特点、范围，对施工现场易发生重大事故的部位、环节进行监控，制定施工现场生产安全事故应急救援预案。根据需要建立应急救援组织或者配备应急救援人员，配备救援器材、设备，并定期组织演练。</w:t>
      </w:r>
    </w:p>
    <w:p>
      <w:pPr>
        <w:pStyle w:val="21"/>
        <w:rPr>
          <w:rFonts w:hint="eastAsia"/>
          <w:highlight w:val="none"/>
          <w:lang w:val="en-US" w:eastAsia="zh-CN"/>
        </w:rPr>
      </w:pPr>
      <w:r>
        <w:rPr>
          <w:rFonts w:hint="eastAsia"/>
          <w:highlight w:val="none"/>
          <w:lang w:val="en-US" w:eastAsia="zh-CN"/>
        </w:rPr>
        <w:t>发生生产安全事故，企业应按照国家有关伤亡事故报告和调查处理的规定，及时、如实地向有关部门报告。</w:t>
      </w:r>
    </w:p>
    <w:p>
      <w:pPr>
        <w:pStyle w:val="51"/>
        <w:bidi w:val="0"/>
        <w:ind w:left="0" w:leftChars="0" w:firstLine="0" w:firstLineChars="0"/>
        <w:rPr>
          <w:rFonts w:hint="eastAsia"/>
          <w:lang w:val="en-US" w:eastAsia="zh-CN"/>
        </w:rPr>
      </w:pPr>
      <w:bookmarkStart w:id="269" w:name="_Toc7426"/>
      <w:bookmarkStart w:id="270" w:name="_Toc18392"/>
      <w:bookmarkStart w:id="271" w:name="_Toc11740"/>
      <w:r>
        <w:rPr>
          <w:rFonts w:hint="eastAsia"/>
          <w:lang w:val="en-US" w:eastAsia="zh-CN"/>
        </w:rPr>
        <w:t>材料管理</w:t>
      </w:r>
      <w:bookmarkEnd w:id="269"/>
      <w:bookmarkEnd w:id="270"/>
      <w:bookmarkEnd w:id="271"/>
    </w:p>
    <w:p>
      <w:pPr>
        <w:pStyle w:val="21"/>
        <w:rPr>
          <w:rFonts w:hint="default"/>
          <w:lang w:val="en-US" w:eastAsia="zh-CN"/>
        </w:rPr>
      </w:pPr>
      <w:r>
        <w:rPr>
          <w:rFonts w:hint="eastAsia"/>
          <w:lang w:val="en-US" w:eastAsia="zh-CN"/>
        </w:rPr>
        <w:t>企业应对施工现场的材料进行规范管理，包括但不限于以下：</w:t>
      </w:r>
    </w:p>
    <w:p>
      <w:pPr>
        <w:pStyle w:val="21"/>
        <w:numPr>
          <w:ilvl w:val="0"/>
          <w:numId w:val="61"/>
        </w:numPr>
        <w:ind w:left="420" w:leftChars="0" w:firstLine="0" w:firstLineChars="0"/>
        <w:rPr>
          <w:rFonts w:hint="eastAsia"/>
          <w:szCs w:val="22"/>
          <w:highlight w:val="none"/>
          <w:lang w:val="en-US" w:eastAsia="zh-CN"/>
        </w:rPr>
      </w:pPr>
      <w:r>
        <w:rPr>
          <w:rFonts w:hint="eastAsia"/>
          <w:szCs w:val="22"/>
          <w:highlight w:val="none"/>
          <w:lang w:val="en-US" w:eastAsia="zh-CN"/>
        </w:rPr>
        <w:t xml:space="preserve">施工场地内：材料堆放场地应坚实、平整，无积水。设备、材料分类合理堆放、整齐有序，安全可靠，标识清楚，并做好防火、防潮、防雨、防碰撞等措施； </w:t>
      </w:r>
    </w:p>
    <w:p>
      <w:pPr>
        <w:pStyle w:val="21"/>
        <w:numPr>
          <w:ilvl w:val="0"/>
          <w:numId w:val="61"/>
        </w:numPr>
        <w:ind w:left="420" w:leftChars="0" w:firstLine="0" w:firstLineChars="0"/>
        <w:rPr>
          <w:rFonts w:hint="eastAsia"/>
          <w:szCs w:val="22"/>
          <w:highlight w:val="none"/>
          <w:lang w:val="en-US" w:eastAsia="zh-CN"/>
        </w:rPr>
      </w:pPr>
      <w:r>
        <w:rPr>
          <w:rFonts w:hint="eastAsia"/>
          <w:szCs w:val="22"/>
          <w:highlight w:val="none"/>
          <w:lang w:val="en-US" w:eastAsia="zh-CN"/>
        </w:rPr>
        <w:t xml:space="preserve">城市道路上：材料应堆放整齐，不得超出占道范围，现场施工应进行100%围蔽，围蔽应规范、连续、整洁； </w:t>
      </w:r>
    </w:p>
    <w:p>
      <w:pPr>
        <w:pStyle w:val="21"/>
        <w:numPr>
          <w:ilvl w:val="0"/>
          <w:numId w:val="61"/>
        </w:numPr>
        <w:ind w:left="420" w:leftChars="0" w:firstLine="0" w:firstLineChars="0"/>
        <w:rPr>
          <w:rFonts w:hint="default"/>
          <w:szCs w:val="22"/>
          <w:highlight w:val="none"/>
          <w:lang w:val="en-US" w:eastAsia="zh-CN"/>
        </w:rPr>
      </w:pPr>
      <w:r>
        <w:rPr>
          <w:rFonts w:hint="default"/>
          <w:szCs w:val="22"/>
          <w:highlight w:val="none"/>
          <w:lang w:val="en-US" w:eastAsia="zh-CN"/>
        </w:rPr>
        <w:t>运输和堆放易起尘的建筑材料时，应用帆布或其它材料覆盖，防止扬尘</w:t>
      </w:r>
      <w:r>
        <w:rPr>
          <w:rFonts w:hint="eastAsia"/>
          <w:szCs w:val="22"/>
          <w:highlight w:val="none"/>
          <w:lang w:val="en-US" w:eastAsia="zh-CN"/>
        </w:rPr>
        <w:t>；</w:t>
      </w:r>
    </w:p>
    <w:p>
      <w:pPr>
        <w:pStyle w:val="21"/>
        <w:numPr>
          <w:ilvl w:val="0"/>
          <w:numId w:val="61"/>
        </w:numPr>
        <w:ind w:left="420" w:leftChars="0" w:firstLine="0" w:firstLineChars="0"/>
        <w:rPr>
          <w:rFonts w:hint="default"/>
          <w:szCs w:val="22"/>
          <w:highlight w:val="none"/>
          <w:lang w:val="en-US" w:eastAsia="zh-CN"/>
        </w:rPr>
      </w:pPr>
      <w:r>
        <w:rPr>
          <w:rFonts w:hint="default"/>
          <w:szCs w:val="22"/>
          <w:highlight w:val="none"/>
          <w:lang w:val="en-US" w:eastAsia="zh-CN"/>
        </w:rPr>
        <w:t>当工程竣工后，应立即清除或移走现场相应的临时设施和施工机具设备、材料及余泥，做到</w:t>
      </w:r>
      <w:r>
        <w:rPr>
          <w:rFonts w:hint="eastAsia"/>
          <w:szCs w:val="22"/>
          <w:highlight w:val="none"/>
          <w:lang w:val="en-US" w:eastAsia="zh-CN"/>
        </w:rPr>
        <w:t>“</w:t>
      </w:r>
      <w:r>
        <w:rPr>
          <w:rFonts w:hint="default"/>
          <w:szCs w:val="22"/>
          <w:highlight w:val="none"/>
          <w:lang w:val="en-US" w:eastAsia="zh-CN"/>
        </w:rPr>
        <w:t>工完料清</w:t>
      </w:r>
      <w:r>
        <w:rPr>
          <w:rFonts w:hint="eastAsia"/>
          <w:szCs w:val="22"/>
          <w:highlight w:val="none"/>
          <w:lang w:val="en-US" w:eastAsia="zh-CN"/>
        </w:rPr>
        <w:t>”</w:t>
      </w:r>
      <w:r>
        <w:rPr>
          <w:rFonts w:hint="default"/>
          <w:szCs w:val="22"/>
          <w:highlight w:val="none"/>
          <w:lang w:val="en-US" w:eastAsia="zh-CN"/>
        </w:rPr>
        <w:t>。</w:t>
      </w:r>
    </w:p>
    <w:p>
      <w:pPr>
        <w:pStyle w:val="51"/>
        <w:bidi w:val="0"/>
        <w:ind w:left="0" w:leftChars="0" w:firstLine="0" w:firstLineChars="0"/>
        <w:rPr>
          <w:rFonts w:hint="eastAsia"/>
          <w:lang w:val="en-US" w:eastAsia="zh-CN"/>
        </w:rPr>
      </w:pPr>
      <w:bookmarkStart w:id="272" w:name="_Toc7251"/>
      <w:bookmarkStart w:id="273" w:name="_Toc26356"/>
      <w:bookmarkStart w:id="274" w:name="_Toc25006"/>
      <w:r>
        <w:rPr>
          <w:rFonts w:hint="eastAsia"/>
          <w:lang w:val="en-US" w:eastAsia="zh-CN"/>
        </w:rPr>
        <w:t>环境保护</w:t>
      </w:r>
      <w:bookmarkEnd w:id="272"/>
      <w:bookmarkEnd w:id="273"/>
      <w:bookmarkEnd w:id="274"/>
    </w:p>
    <w:p>
      <w:pPr>
        <w:pStyle w:val="21"/>
        <w:rPr>
          <w:rFonts w:hint="eastAsia"/>
          <w:szCs w:val="22"/>
          <w:lang w:val="en-US" w:eastAsia="zh-CN"/>
        </w:rPr>
      </w:pPr>
      <w:r>
        <w:rPr>
          <w:rFonts w:hint="eastAsia"/>
          <w:szCs w:val="22"/>
          <w:lang w:val="en-US" w:eastAsia="zh-CN"/>
        </w:rPr>
        <w:t>企业应识别与生产活动相关的环境因素，评估其对环境带来的风险，实施监控以保护环境。</w:t>
      </w:r>
    </w:p>
    <w:p>
      <w:pPr>
        <w:pStyle w:val="21"/>
        <w:rPr>
          <w:rFonts w:hint="eastAsia"/>
          <w:szCs w:val="22"/>
          <w:lang w:val="en-US" w:eastAsia="zh-CN"/>
        </w:rPr>
      </w:pPr>
      <w:r>
        <w:rPr>
          <w:rFonts w:hint="eastAsia"/>
          <w:szCs w:val="22"/>
          <w:lang w:val="en-US" w:eastAsia="zh-CN"/>
        </w:rPr>
        <w:t>企业应针对下列因素进行环境风险评估，并对环境风险制定出具体的控制措施：</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“三废”控制；</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粉尘控制；</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噪声控制；</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植被破坏与水土流失。</w:t>
      </w:r>
    </w:p>
    <w:p>
      <w:pPr>
        <w:pStyle w:val="21"/>
        <w:rPr>
          <w:rFonts w:hint="eastAsia"/>
          <w:szCs w:val="22"/>
          <w:lang w:val="en-US" w:eastAsia="zh-CN"/>
        </w:rPr>
      </w:pPr>
      <w:r>
        <w:rPr>
          <w:rFonts w:hint="eastAsia"/>
          <w:szCs w:val="22"/>
          <w:lang w:val="en-US" w:eastAsia="zh-CN"/>
        </w:rPr>
        <w:t>企业应根据施工过程中可能产生的污染气体、废水、废渣、粉尘以及噪声、振动等可能对环境造成的污染和危害的，施工组织设计中应有相应的文明施工及环境保护措施，并经审查批准后方可实施。</w:t>
      </w:r>
    </w:p>
    <w:p>
      <w:pPr>
        <w:pStyle w:val="21"/>
        <w:rPr>
          <w:rFonts w:hint="eastAsia"/>
          <w:szCs w:val="22"/>
          <w:lang w:val="en-US" w:eastAsia="zh-CN"/>
        </w:rPr>
      </w:pPr>
      <w:r>
        <w:rPr>
          <w:rFonts w:hint="eastAsia"/>
          <w:szCs w:val="22"/>
          <w:lang w:val="en-US" w:eastAsia="zh-CN"/>
        </w:rPr>
        <w:t>企业应在重点道路交通严管区域和风景名胜区、重点公共建筑周边等严管地段按照更高标准、更高要求进行文明施工，并在现场增加监管人员。</w:t>
      </w:r>
    </w:p>
    <w:p>
      <w:pPr>
        <w:pStyle w:val="21"/>
        <w:rPr>
          <w:rFonts w:hint="eastAsia"/>
          <w:szCs w:val="22"/>
          <w:lang w:val="en-US" w:eastAsia="zh-CN"/>
        </w:rPr>
      </w:pPr>
      <w:r>
        <w:rPr>
          <w:rFonts w:hint="eastAsia"/>
          <w:szCs w:val="22"/>
          <w:lang w:val="en-US" w:eastAsia="zh-CN"/>
        </w:rPr>
        <w:t xml:space="preserve">施工现场应实现施工封闭化、围栏标准化、标识规范化、措施人性化，确保施工期间周边环境不受污染、现场道路平整、排水畅通和交通安全。 </w:t>
      </w:r>
    </w:p>
    <w:p>
      <w:pPr>
        <w:pStyle w:val="51"/>
        <w:bidi w:val="0"/>
        <w:ind w:left="0" w:leftChars="0" w:firstLine="0" w:firstLineChars="0"/>
        <w:rPr>
          <w:rFonts w:hint="default"/>
          <w:lang w:val="en-US" w:eastAsia="zh-CN"/>
        </w:rPr>
      </w:pPr>
      <w:bookmarkStart w:id="275" w:name="_Toc3028"/>
      <w:bookmarkStart w:id="276" w:name="_Toc32444"/>
      <w:bookmarkStart w:id="277" w:name="_Toc17746"/>
      <w:r>
        <w:rPr>
          <w:rFonts w:hint="eastAsia"/>
          <w:lang w:val="en-US" w:eastAsia="zh-CN"/>
        </w:rPr>
        <w:t>组织协调</w:t>
      </w:r>
      <w:bookmarkEnd w:id="275"/>
      <w:bookmarkEnd w:id="276"/>
      <w:bookmarkEnd w:id="277"/>
    </w:p>
    <w:p>
      <w:pPr>
        <w:pStyle w:val="21"/>
        <w:numPr>
          <w:ilvl w:val="0"/>
          <w:numId w:val="0"/>
        </w:numPr>
        <w:ind w:firstLine="420" w:firstLineChars="200"/>
        <w:rPr>
          <w:rFonts w:hint="eastAsia"/>
          <w:szCs w:val="22"/>
          <w:lang w:val="en-US" w:eastAsia="zh-CN"/>
        </w:rPr>
      </w:pPr>
      <w:r>
        <w:rPr>
          <w:rFonts w:hint="eastAsia"/>
          <w:szCs w:val="22"/>
          <w:lang w:val="en-US" w:eastAsia="zh-CN"/>
        </w:rPr>
        <w:t>为了控制工程项目实施过程中组织协调方面存在的风险，企业应保持与工程建设相关方的沟通、协调，对相关信息进行处理，并保存必要的记录。</w:t>
      </w:r>
    </w:p>
    <w:p>
      <w:pPr>
        <w:pStyle w:val="21"/>
        <w:numPr>
          <w:ilvl w:val="0"/>
          <w:numId w:val="0"/>
        </w:numPr>
        <w:ind w:firstLine="420" w:firstLineChars="200"/>
        <w:rPr>
          <w:rFonts w:hint="eastAsia"/>
          <w:szCs w:val="22"/>
          <w:lang w:val="en-US" w:eastAsia="zh-CN"/>
        </w:rPr>
      </w:pPr>
      <w:r>
        <w:rPr>
          <w:rFonts w:hint="eastAsia"/>
          <w:szCs w:val="22"/>
          <w:lang w:val="en-US" w:eastAsia="zh-CN"/>
        </w:rPr>
        <w:t>沟通、协调应包括下列内容：</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建立组织协调准则，明确程序、方式、内容和责任；</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运用工地例会、工程例会、专题会议及现场协调方式及时解决施工中存在的问题；</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协调甲供材料、设备到货计划，以满足施工进度的要求；</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协调设计单位的交图进度，以满足施工进度的要求，及时沟通施工中发现的设计问题；</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协调解决政府部门及其他单位的问题；</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工程安全检查情况；</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工程隐患（若有）；</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工程变更与洽商要求；</w:t>
      </w:r>
    </w:p>
    <w:p>
      <w:pPr>
        <w:pStyle w:val="21"/>
        <w:numPr>
          <w:ilvl w:val="0"/>
          <w:numId w:val="63"/>
        </w:numPr>
        <w:ind w:left="420" w:leftChars="0" w:firstLine="0" w:firstLineChars="0"/>
        <w:rPr>
          <w:rFonts w:hint="eastAsia"/>
          <w:lang w:val="en-US" w:eastAsia="zh-CN"/>
        </w:rPr>
      </w:pPr>
      <w:r>
        <w:rPr>
          <w:rFonts w:hint="eastAsia"/>
          <w:szCs w:val="22"/>
          <w:lang w:val="en-US" w:eastAsia="zh-CN"/>
        </w:rPr>
        <w:t>工程安全有关的其他事项。</w:t>
      </w:r>
    </w:p>
    <w:p>
      <w:pPr>
        <w:pStyle w:val="51"/>
        <w:bidi w:val="0"/>
        <w:ind w:left="0" w:leftChars="0" w:firstLine="0" w:firstLineChars="0"/>
        <w:rPr>
          <w:rFonts w:hint="default"/>
          <w:lang w:val="en-US" w:eastAsia="zh-CN"/>
        </w:rPr>
      </w:pPr>
      <w:bookmarkStart w:id="278" w:name="_Toc4235"/>
      <w:bookmarkStart w:id="279" w:name="_Toc12267"/>
      <w:bookmarkStart w:id="280" w:name="_Toc17530"/>
      <w:r>
        <w:rPr>
          <w:rFonts w:hint="eastAsia"/>
          <w:lang w:val="en-US" w:eastAsia="zh-CN"/>
        </w:rPr>
        <w:t>成本管理</w:t>
      </w:r>
      <w:bookmarkEnd w:id="278"/>
      <w:bookmarkEnd w:id="279"/>
      <w:bookmarkEnd w:id="280"/>
    </w:p>
    <w:p>
      <w:pPr>
        <w:pStyle w:val="21"/>
        <w:rPr>
          <w:rFonts w:hint="eastAsia"/>
          <w:lang w:val="en-US" w:eastAsia="zh-CN"/>
        </w:rPr>
      </w:pPr>
      <w:r>
        <w:rPr>
          <w:rFonts w:hint="default"/>
          <w:lang w:val="en-US" w:eastAsia="zh-CN"/>
        </w:rPr>
        <w:t>成本管理应以规范化与标准化管理为导向，逐步实现成本的精细化管理</w:t>
      </w:r>
      <w:r>
        <w:rPr>
          <w:rFonts w:hint="eastAsia"/>
          <w:lang w:val="en-US" w:eastAsia="zh-CN"/>
        </w:rPr>
        <w:t>。</w:t>
      </w:r>
    </w:p>
    <w:p>
      <w:pPr>
        <w:pStyle w:val="21"/>
        <w:rPr>
          <w:rFonts w:hint="default"/>
          <w:lang w:val="en-US" w:eastAsia="zh-CN"/>
        </w:rPr>
      </w:pPr>
      <w:r>
        <w:rPr>
          <w:rFonts w:hint="eastAsia"/>
          <w:lang w:val="en-US" w:eastAsia="zh-CN"/>
        </w:rPr>
        <w:t>企业应</w:t>
      </w:r>
      <w:r>
        <w:rPr>
          <w:rFonts w:hint="default"/>
          <w:lang w:val="en-US" w:eastAsia="zh-CN"/>
        </w:rPr>
        <w:t>建立成本管理</w:t>
      </w:r>
      <w:r>
        <w:rPr>
          <w:rFonts w:hint="eastAsia"/>
          <w:lang w:val="en-US" w:eastAsia="zh-CN"/>
        </w:rPr>
        <w:t>制度</w:t>
      </w:r>
      <w:r>
        <w:rPr>
          <w:rFonts w:hint="default"/>
          <w:lang w:val="en-US" w:eastAsia="zh-CN"/>
        </w:rPr>
        <w:t>，制定科学合理的成本目标，作为成本控制、评价及考核依据，提高成本使用效率。</w:t>
      </w:r>
    </w:p>
    <w:p>
      <w:pPr>
        <w:pStyle w:val="21"/>
        <w:rPr>
          <w:rFonts w:hint="default"/>
          <w:lang w:val="en-US" w:eastAsia="zh-CN"/>
        </w:rPr>
      </w:pPr>
      <w:r>
        <w:rPr>
          <w:rFonts w:hint="eastAsia"/>
          <w:lang w:val="en-US" w:eastAsia="zh-CN"/>
        </w:rPr>
        <w:t>成本管理包括但不限于以下：</w:t>
      </w:r>
    </w:p>
    <w:p>
      <w:pPr>
        <w:pStyle w:val="21"/>
        <w:numPr>
          <w:ilvl w:val="0"/>
          <w:numId w:val="64"/>
        </w:numPr>
        <w:ind w:left="420" w:leftChars="0" w:firstLine="0" w:firstLineChars="0"/>
        <w:rPr>
          <w:rFonts w:hint="eastAsia"/>
          <w:szCs w:val="22"/>
          <w:lang w:val="en-US" w:eastAsia="zh-CN"/>
        </w:rPr>
      </w:pPr>
      <w:r>
        <w:rPr>
          <w:rFonts w:hint="eastAsia"/>
          <w:szCs w:val="22"/>
          <w:lang w:val="en-US" w:eastAsia="zh-CN"/>
        </w:rPr>
        <w:t>成本预算；</w:t>
      </w:r>
    </w:p>
    <w:p>
      <w:pPr>
        <w:pStyle w:val="21"/>
        <w:numPr>
          <w:ilvl w:val="0"/>
          <w:numId w:val="64"/>
        </w:numPr>
        <w:ind w:left="420" w:leftChars="0" w:firstLine="0" w:firstLineChars="0"/>
        <w:rPr>
          <w:rFonts w:hint="default"/>
          <w:lang w:val="en-US" w:eastAsia="zh-CN"/>
        </w:rPr>
      </w:pPr>
      <w:r>
        <w:rPr>
          <w:rFonts w:hint="eastAsia"/>
          <w:szCs w:val="22"/>
          <w:lang w:val="en-US" w:eastAsia="zh-CN"/>
        </w:rPr>
        <w:t>成本核算</w:t>
      </w:r>
      <w:r>
        <w:rPr>
          <w:rFonts w:hint="eastAsia"/>
          <w:lang w:val="en-US" w:eastAsia="zh-CN"/>
        </w:rPr>
        <w:t>；</w:t>
      </w:r>
    </w:p>
    <w:p>
      <w:pPr>
        <w:pStyle w:val="21"/>
        <w:numPr>
          <w:ilvl w:val="0"/>
          <w:numId w:val="64"/>
        </w:numPr>
        <w:ind w:left="420" w:leftChars="0" w:firstLine="0" w:firstLineChars="0"/>
        <w:rPr>
          <w:rFonts w:hint="eastAsia"/>
          <w:szCs w:val="22"/>
          <w:lang w:val="en-US" w:eastAsia="zh-CN"/>
        </w:rPr>
      </w:pPr>
      <w:r>
        <w:rPr>
          <w:rFonts w:hint="eastAsia"/>
          <w:szCs w:val="22"/>
          <w:lang w:val="en-US" w:eastAsia="zh-CN"/>
        </w:rPr>
        <w:t>成本控制；</w:t>
      </w:r>
    </w:p>
    <w:p>
      <w:pPr>
        <w:pStyle w:val="21"/>
        <w:numPr>
          <w:ilvl w:val="0"/>
          <w:numId w:val="64"/>
        </w:numPr>
        <w:ind w:left="420" w:leftChars="0" w:firstLine="0" w:firstLineChars="0"/>
        <w:rPr>
          <w:rFonts w:hint="default"/>
          <w:lang w:val="en-US" w:eastAsia="zh-CN"/>
        </w:rPr>
      </w:pPr>
      <w:r>
        <w:rPr>
          <w:rFonts w:hint="eastAsia"/>
          <w:szCs w:val="22"/>
          <w:lang w:val="en-US" w:eastAsia="zh-CN"/>
        </w:rPr>
        <w:t>成本分析。</w:t>
      </w:r>
    </w:p>
    <w:p>
      <w:pPr>
        <w:pStyle w:val="51"/>
        <w:bidi w:val="0"/>
        <w:ind w:left="0" w:leftChars="0" w:firstLine="0" w:firstLineChars="0"/>
        <w:rPr>
          <w:rFonts w:hint="default"/>
          <w:lang w:val="en-US" w:eastAsia="zh-CN"/>
        </w:rPr>
      </w:pPr>
      <w:bookmarkStart w:id="281" w:name="_Toc1069"/>
      <w:bookmarkStart w:id="282" w:name="_Toc4775"/>
      <w:bookmarkStart w:id="283" w:name="_Toc26149"/>
      <w:r>
        <w:rPr>
          <w:rFonts w:hint="default"/>
          <w:lang w:val="en-US" w:eastAsia="zh-CN"/>
        </w:rPr>
        <w:t>变更控制</w:t>
      </w:r>
      <w:bookmarkEnd w:id="281"/>
      <w:bookmarkEnd w:id="282"/>
      <w:bookmarkEnd w:id="283"/>
    </w:p>
    <w:p>
      <w:pPr>
        <w:pStyle w:val="21"/>
        <w:rPr>
          <w:rFonts w:hint="eastAsia"/>
          <w:lang w:val="en-US" w:eastAsia="zh-CN"/>
        </w:rPr>
      </w:pPr>
      <w:r>
        <w:rPr>
          <w:rFonts w:hint="eastAsia"/>
          <w:lang w:val="en-US" w:eastAsia="zh-CN"/>
        </w:rPr>
        <w:t>工程项目施工过程发生变化时，企业应对施工变更进行评估和控制。</w:t>
      </w:r>
    </w:p>
    <w:p>
      <w:pPr>
        <w:pStyle w:val="21"/>
        <w:rPr>
          <w:rFonts w:hint="eastAsia"/>
          <w:lang w:val="en-US" w:eastAsia="zh-CN"/>
        </w:rPr>
      </w:pPr>
      <w:r>
        <w:rPr>
          <w:rFonts w:hint="eastAsia"/>
          <w:lang w:val="en-US" w:eastAsia="zh-CN"/>
        </w:rPr>
        <w:t>企业应规定相关层次施工变更的管理范围、岗位责任和工作权限，明确施工变更的工作流程和方法。</w:t>
      </w:r>
    </w:p>
    <w:p>
      <w:pPr>
        <w:pStyle w:val="21"/>
        <w:rPr>
          <w:rFonts w:hint="eastAsia"/>
          <w:lang w:val="en-US" w:eastAsia="zh-CN"/>
        </w:rPr>
      </w:pPr>
      <w:r>
        <w:rPr>
          <w:rFonts w:hint="eastAsia"/>
          <w:lang w:val="en-US" w:eastAsia="zh-CN"/>
        </w:rPr>
        <w:t>施工变更控制应确保质量偏差、安全风险得到有效预防，应依据下列程序实施：</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变更的需求和原因确认；</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变更的沟通与协商；</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变更文件的确认或批准；</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变更管理措施的制定与实施；</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变更管理措施有效性的评价。</w:t>
      </w:r>
    </w:p>
    <w:p>
      <w:pPr>
        <w:pStyle w:val="21"/>
        <w:rPr>
          <w:rFonts w:hint="default"/>
          <w:lang w:val="en-US" w:eastAsia="zh-CN"/>
        </w:rPr>
      </w:pPr>
      <w:r>
        <w:rPr>
          <w:rFonts w:hint="eastAsia"/>
          <w:lang w:val="en-US" w:eastAsia="zh-CN"/>
        </w:rPr>
        <w:t>企业应实施和跟踪施工变更管理，进行偏差控制。</w:t>
      </w:r>
    </w:p>
    <w:p>
      <w:pPr>
        <w:pStyle w:val="51"/>
        <w:bidi w:val="0"/>
        <w:ind w:left="0" w:leftChars="0" w:firstLine="0" w:firstLineChars="0"/>
        <w:rPr>
          <w:rFonts w:hint="default"/>
          <w:lang w:val="en-US" w:eastAsia="zh-CN"/>
        </w:rPr>
      </w:pPr>
      <w:bookmarkStart w:id="284" w:name="_Toc24796"/>
      <w:bookmarkStart w:id="285" w:name="_Toc13795"/>
      <w:bookmarkStart w:id="286" w:name="_Toc12917"/>
      <w:r>
        <w:rPr>
          <w:rFonts w:hint="eastAsia"/>
          <w:lang w:val="en-US" w:eastAsia="zh-CN"/>
        </w:rPr>
        <w:t>竣工验收</w:t>
      </w:r>
      <w:bookmarkEnd w:id="284"/>
      <w:bookmarkEnd w:id="285"/>
      <w:bookmarkEnd w:id="286"/>
    </w:p>
    <w:p>
      <w:pPr>
        <w:pStyle w:val="21"/>
        <w:rPr>
          <w:rFonts w:hint="default"/>
          <w:lang w:val="en-US" w:eastAsia="zh-CN"/>
        </w:rPr>
      </w:pPr>
      <w:r>
        <w:rPr>
          <w:rFonts w:hint="eastAsia"/>
          <w:lang w:val="en-US" w:eastAsia="zh-CN"/>
        </w:rPr>
        <w:t>企业应在启动验收前检查工程是否满足启动条件，完成并提交工程质量评估报告和相关验收所需的资料，包括但不限于以下：</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明确业主关于工程项目验收的程序和标准</w:t>
      </w:r>
      <w:r>
        <w:rPr>
          <w:rFonts w:hint="eastAsia"/>
          <w:szCs w:val="22"/>
          <w:lang w:val="en-US" w:eastAsia="zh-CN"/>
        </w:rPr>
        <w:t>；</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针对工程项目、设备或相关辅助系统以及质量控制关键点、隐蔽工程建立对应的验收标准</w:t>
      </w:r>
      <w:r>
        <w:rPr>
          <w:rFonts w:hint="eastAsia"/>
          <w:szCs w:val="22"/>
          <w:lang w:val="en-US" w:eastAsia="zh-CN"/>
        </w:rPr>
        <w:t>，</w:t>
      </w:r>
      <w:r>
        <w:rPr>
          <w:rFonts w:hint="default"/>
          <w:szCs w:val="22"/>
          <w:lang w:val="en-US" w:eastAsia="zh-CN"/>
        </w:rPr>
        <w:t>验收标准是否包括：</w:t>
      </w:r>
    </w:p>
    <w:p>
      <w:pPr>
        <w:pStyle w:val="21"/>
        <w:numPr>
          <w:ilvl w:val="0"/>
          <w:numId w:val="0"/>
        </w:numPr>
        <w:ind w:left="420" w:leftChars="0" w:firstLine="420" w:firstLineChars="200"/>
        <w:rPr>
          <w:rFonts w:hint="default"/>
          <w:szCs w:val="22"/>
          <w:lang w:val="en-US" w:eastAsia="zh-CN"/>
        </w:rPr>
      </w:pPr>
      <w:r>
        <w:rPr>
          <w:rFonts w:hint="eastAsia"/>
          <w:szCs w:val="22"/>
          <w:lang w:val="en-US" w:eastAsia="zh-CN"/>
        </w:rPr>
        <w:t>1）</w:t>
      </w:r>
      <w:r>
        <w:rPr>
          <w:rFonts w:hint="default"/>
          <w:szCs w:val="22"/>
          <w:lang w:val="en-US" w:eastAsia="zh-CN"/>
        </w:rPr>
        <w:t>验收项目和标准要求；</w:t>
      </w:r>
    </w:p>
    <w:p>
      <w:pPr>
        <w:pStyle w:val="21"/>
        <w:numPr>
          <w:ilvl w:val="0"/>
          <w:numId w:val="0"/>
        </w:numPr>
        <w:ind w:left="420" w:leftChars="0" w:firstLine="420" w:firstLineChars="200"/>
        <w:rPr>
          <w:rFonts w:hint="default"/>
          <w:szCs w:val="22"/>
          <w:lang w:val="en-US" w:eastAsia="zh-CN"/>
        </w:rPr>
      </w:pPr>
      <w:r>
        <w:rPr>
          <w:rFonts w:hint="eastAsia"/>
          <w:szCs w:val="22"/>
          <w:lang w:val="en-US" w:eastAsia="zh-CN"/>
        </w:rPr>
        <w:t>2）</w:t>
      </w:r>
      <w:r>
        <w:rPr>
          <w:rFonts w:hint="default"/>
          <w:szCs w:val="22"/>
          <w:lang w:val="en-US" w:eastAsia="zh-CN"/>
        </w:rPr>
        <w:t>图纸资料与技术档案清单与交接要求；</w:t>
      </w:r>
    </w:p>
    <w:p>
      <w:pPr>
        <w:pStyle w:val="21"/>
        <w:numPr>
          <w:ilvl w:val="0"/>
          <w:numId w:val="0"/>
        </w:numPr>
        <w:ind w:left="420" w:leftChars="0" w:firstLine="420" w:firstLineChars="200"/>
        <w:rPr>
          <w:rFonts w:hint="default"/>
          <w:szCs w:val="22"/>
          <w:lang w:val="en-US" w:eastAsia="zh-CN"/>
        </w:rPr>
      </w:pPr>
      <w:r>
        <w:rPr>
          <w:rFonts w:hint="eastAsia"/>
          <w:szCs w:val="22"/>
          <w:lang w:val="en-US" w:eastAsia="zh-CN"/>
        </w:rPr>
        <w:t>3）</w:t>
      </w:r>
      <w:r>
        <w:rPr>
          <w:rFonts w:hint="default"/>
          <w:szCs w:val="22"/>
          <w:lang w:val="en-US" w:eastAsia="zh-CN"/>
        </w:rPr>
        <w:t>过程记录与试验数据清单与交接要求。</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依据上述要求组织开展项目的预检及竣工验收</w:t>
      </w:r>
      <w:r>
        <w:rPr>
          <w:rFonts w:hint="eastAsia"/>
          <w:szCs w:val="22"/>
          <w:lang w:val="en-US" w:eastAsia="zh-CN"/>
        </w:rPr>
        <w:t>；</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验收发现问题及时反馈并制订改进措施</w:t>
      </w:r>
      <w:r>
        <w:rPr>
          <w:rFonts w:hint="eastAsia"/>
          <w:szCs w:val="22"/>
          <w:lang w:val="en-US" w:eastAsia="zh-CN"/>
        </w:rPr>
        <w:t>，</w:t>
      </w:r>
      <w:r>
        <w:rPr>
          <w:rFonts w:hint="default"/>
          <w:szCs w:val="22"/>
          <w:lang w:val="en-US" w:eastAsia="zh-CN"/>
        </w:rPr>
        <w:t>对遗留问题</w:t>
      </w:r>
      <w:r>
        <w:rPr>
          <w:rFonts w:hint="eastAsia"/>
          <w:szCs w:val="22"/>
          <w:lang w:val="en-US" w:eastAsia="zh-CN"/>
        </w:rPr>
        <w:t>由</w:t>
      </w:r>
      <w:r>
        <w:rPr>
          <w:rFonts w:hint="default"/>
          <w:szCs w:val="22"/>
          <w:lang w:val="en-US" w:eastAsia="zh-CN"/>
        </w:rPr>
        <w:t>双方共同认可的控制措施和完善计划</w:t>
      </w:r>
      <w:r>
        <w:rPr>
          <w:rFonts w:hint="eastAsia"/>
          <w:szCs w:val="22"/>
          <w:lang w:val="en-US" w:eastAsia="zh-CN"/>
        </w:rPr>
        <w:t>；</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所有工程项目的质量控制关键点、隐蔽工程以及交接验收执行过程及记录符合规定</w:t>
      </w:r>
      <w:r>
        <w:rPr>
          <w:rFonts w:hint="eastAsia"/>
          <w:szCs w:val="22"/>
          <w:lang w:val="en-US" w:eastAsia="zh-CN"/>
        </w:rPr>
        <w:t>；</w:t>
      </w:r>
    </w:p>
    <w:p>
      <w:pPr>
        <w:pStyle w:val="21"/>
        <w:numPr>
          <w:ilvl w:val="0"/>
          <w:numId w:val="66"/>
        </w:numPr>
        <w:ind w:left="420" w:leftChars="0" w:firstLine="0" w:firstLineChars="0"/>
        <w:rPr>
          <w:rFonts w:hint="eastAsia"/>
          <w:szCs w:val="22"/>
          <w:lang w:val="en-US" w:eastAsia="zh-CN"/>
        </w:rPr>
      </w:pPr>
      <w:r>
        <w:rPr>
          <w:rFonts w:hint="default"/>
          <w:szCs w:val="22"/>
          <w:lang w:val="en-US" w:eastAsia="zh-CN"/>
        </w:rPr>
        <w:t>图纸资料、试验报告、验收记录齐全，按程序规定的时限、内容进行了确认和移交</w:t>
      </w:r>
      <w:r>
        <w:rPr>
          <w:rFonts w:hint="eastAsia"/>
          <w:szCs w:val="22"/>
          <w:lang w:val="en-US" w:eastAsia="zh-CN"/>
        </w:rPr>
        <w:t>。</w:t>
      </w:r>
    </w:p>
    <w:p>
      <w:pPr>
        <w:pStyle w:val="51"/>
        <w:bidi w:val="0"/>
        <w:ind w:left="0" w:leftChars="0" w:firstLine="0" w:firstLineChars="0"/>
        <w:rPr>
          <w:rFonts w:hint="default"/>
          <w:lang w:val="en-US" w:eastAsia="zh-CN"/>
        </w:rPr>
      </w:pPr>
      <w:bookmarkStart w:id="287" w:name="_Toc23449"/>
      <w:bookmarkStart w:id="288" w:name="_Toc19182"/>
      <w:bookmarkStart w:id="289" w:name="_Toc4310"/>
      <w:r>
        <w:rPr>
          <w:rFonts w:hint="eastAsia"/>
          <w:lang w:val="en-US" w:eastAsia="zh-CN"/>
        </w:rPr>
        <w:t>交付服务</w:t>
      </w:r>
      <w:bookmarkEnd w:id="287"/>
      <w:bookmarkEnd w:id="288"/>
      <w:bookmarkEnd w:id="289"/>
    </w:p>
    <w:p>
      <w:pPr>
        <w:pStyle w:val="21"/>
        <w:rPr>
          <w:rFonts w:hint="eastAsia"/>
          <w:lang w:val="en-US" w:eastAsia="zh-CN"/>
        </w:rPr>
      </w:pPr>
      <w:r>
        <w:rPr>
          <w:rFonts w:hint="eastAsia"/>
          <w:lang w:val="en-US" w:eastAsia="zh-CN"/>
        </w:rPr>
        <w:t>企业应按工程合同约定进行工程竣工交付。</w:t>
      </w:r>
    </w:p>
    <w:p>
      <w:pPr>
        <w:pStyle w:val="21"/>
        <w:rPr>
          <w:rFonts w:hint="eastAsia"/>
          <w:lang w:val="en-US" w:eastAsia="zh-CN"/>
        </w:rPr>
      </w:pPr>
      <w:r>
        <w:rPr>
          <w:rFonts w:hint="eastAsia"/>
          <w:lang w:val="en-US" w:eastAsia="zh-CN"/>
        </w:rPr>
        <w:t>企业应策划并组织服务活动的实施。</w:t>
      </w:r>
    </w:p>
    <w:p>
      <w:pPr>
        <w:pStyle w:val="21"/>
        <w:rPr>
          <w:rFonts w:hint="eastAsia"/>
          <w:lang w:val="en-US" w:eastAsia="zh-CN"/>
        </w:rPr>
      </w:pPr>
      <w:r>
        <w:rPr>
          <w:rFonts w:hint="eastAsia"/>
          <w:lang w:val="en-US" w:eastAsia="zh-CN"/>
        </w:rPr>
        <w:t>服务活动可包括下列内容：</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工程保修；</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提供工程使用说明；</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非保修范围内的维修；</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工程合同约定的其他服务。</w:t>
      </w:r>
    </w:p>
    <w:p>
      <w:pPr>
        <w:pStyle w:val="21"/>
        <w:rPr>
          <w:rFonts w:hint="eastAsia"/>
          <w:lang w:val="en-US" w:eastAsia="zh-CN"/>
        </w:rPr>
      </w:pPr>
      <w:r>
        <w:rPr>
          <w:rFonts w:hint="eastAsia"/>
          <w:lang w:val="en-US" w:eastAsia="zh-CN"/>
        </w:rPr>
        <w:t>在规定期限内，企业对服务的需求信息应作出响应，并对服务质量进行控制、检查和验收。</w:t>
      </w:r>
    </w:p>
    <w:p>
      <w:pPr>
        <w:pStyle w:val="21"/>
        <w:rPr>
          <w:rFonts w:hint="default"/>
          <w:lang w:val="en-US" w:eastAsia="zh-CN"/>
        </w:rPr>
      </w:pPr>
      <w:r>
        <w:rPr>
          <w:rFonts w:hint="eastAsia"/>
          <w:lang w:val="en-US" w:eastAsia="zh-CN"/>
        </w:rPr>
        <w:t>企业应收集服务的相关信息，分析发包方的满意程度，评价安全与风险综合管理体系持续满足发包方需求的能力。</w:t>
      </w:r>
    </w:p>
    <w:p>
      <w:pPr>
        <w:pStyle w:val="21"/>
        <w:rPr>
          <w:rFonts w:hint="eastAsia"/>
          <w:lang w:val="en-US" w:eastAsia="zh-CN"/>
        </w:rPr>
      </w:pPr>
      <w:r>
        <w:rPr>
          <w:rFonts w:hint="eastAsia"/>
          <w:lang w:val="en-US" w:eastAsia="zh-CN"/>
        </w:rPr>
        <w:t>企业应保留成文信息，作为交付与服务的证据。</w:t>
      </w:r>
    </w:p>
    <w:p>
      <w:pPr>
        <w:pStyle w:val="51"/>
        <w:bidi w:val="0"/>
        <w:ind w:left="0" w:leftChars="0" w:firstLine="0" w:firstLineChars="0"/>
        <w:rPr>
          <w:rFonts w:hint="default"/>
          <w:lang w:val="en-US" w:eastAsia="zh-CN"/>
        </w:rPr>
      </w:pPr>
      <w:bookmarkStart w:id="290" w:name="_Toc29307"/>
      <w:bookmarkStart w:id="291" w:name="_Toc5538"/>
      <w:bookmarkStart w:id="292" w:name="_Toc10296"/>
      <w:r>
        <w:rPr>
          <w:rFonts w:hint="eastAsia"/>
          <w:lang w:val="en-US" w:eastAsia="zh-CN"/>
        </w:rPr>
        <w:t>档案管理</w:t>
      </w:r>
      <w:bookmarkEnd w:id="290"/>
      <w:bookmarkEnd w:id="291"/>
      <w:bookmarkEnd w:id="292"/>
    </w:p>
    <w:p>
      <w:pPr>
        <w:pStyle w:val="21"/>
        <w:numPr>
          <w:ilvl w:val="0"/>
          <w:numId w:val="0"/>
        </w:numPr>
        <w:ind w:firstLine="420" w:firstLineChars="200"/>
        <w:rPr>
          <w:rFonts w:hint="default"/>
          <w:szCs w:val="22"/>
          <w:lang w:val="en-US" w:eastAsia="zh-CN"/>
        </w:rPr>
      </w:pPr>
      <w:r>
        <w:rPr>
          <w:rFonts w:hint="eastAsia"/>
          <w:szCs w:val="22"/>
          <w:lang w:val="en-US" w:eastAsia="zh-CN"/>
        </w:rPr>
        <w:t>企业应建立档案管理制度，指定专人随工程施工工作进展进行档案的管理工作。</w:t>
      </w:r>
    </w:p>
    <w:p>
      <w:pPr>
        <w:pStyle w:val="21"/>
        <w:numPr>
          <w:ilvl w:val="0"/>
          <w:numId w:val="0"/>
        </w:numPr>
        <w:ind w:firstLine="420" w:firstLineChars="200"/>
        <w:rPr>
          <w:rFonts w:hint="eastAsia"/>
          <w:szCs w:val="22"/>
          <w:lang w:val="en-US" w:eastAsia="zh-CN"/>
        </w:rPr>
      </w:pPr>
      <w:r>
        <w:rPr>
          <w:rFonts w:hint="eastAsia"/>
          <w:szCs w:val="22"/>
          <w:lang w:val="en-US" w:eastAsia="zh-CN"/>
        </w:rPr>
        <w:t>企业应建立和保持施工过程中的记录，记录的形成应与工程施工过程同步，包括下列内容：</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工程项目质量、环境、安全方针、目标；</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工程合同；</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质量、环境、安全、施工管理制度及施工方案；</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工程开工报审资料；</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图纸的接收、发放、会审与设计变更的有关记录；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施工日记；</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交底记录；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岗位资格证明；</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工程测量、技术复核、分部分项及隐蔽工程验收记录；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工程材料、构配件和设备的检查验收记录；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施工机具、设施、检测设备的验收及管理记录；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施工过程检测、检查与验收记录；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质量、安全问题的整改、复查记录；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工程会议、函件、通知等相关记录；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项目管理策划结果规定的其他记录。</w:t>
      </w:r>
    </w:p>
    <w:p>
      <w:pPr>
        <w:pStyle w:val="94"/>
        <w:rPr>
          <w:rFonts w:hint="default"/>
          <w:szCs w:val="22"/>
          <w:lang w:val="en-US" w:eastAsia="zh-CN"/>
        </w:rPr>
      </w:pPr>
      <w:bookmarkStart w:id="293" w:name="_Toc26652"/>
      <w:bookmarkStart w:id="294" w:name="_Toc18135"/>
      <w:r>
        <w:rPr>
          <w:rFonts w:hint="default"/>
          <w:szCs w:val="22"/>
          <w:lang w:val="en-US" w:eastAsia="zh-CN"/>
        </w:rPr>
        <w:t>应急管理</w:t>
      </w:r>
      <w:bookmarkEnd w:id="179"/>
      <w:bookmarkEnd w:id="293"/>
      <w:bookmarkEnd w:id="294"/>
    </w:p>
    <w:p>
      <w:pPr>
        <w:pStyle w:val="51"/>
      </w:pPr>
      <w:bookmarkStart w:id="295" w:name="_Toc22584"/>
      <w:bookmarkStart w:id="296" w:name="_Toc25686"/>
      <w:bookmarkStart w:id="297" w:name="_Toc19485"/>
      <w:bookmarkStart w:id="298" w:name="_Toc23"/>
      <w:r>
        <w:t>应急准备</w:t>
      </w:r>
      <w:bookmarkEnd w:id="295"/>
      <w:bookmarkEnd w:id="296"/>
      <w:bookmarkEnd w:id="297"/>
    </w:p>
    <w:p>
      <w:pPr>
        <w:pStyle w:val="21"/>
      </w:pPr>
      <w:r>
        <w:rPr>
          <w:rFonts w:hint="eastAsia"/>
        </w:rPr>
        <w:t>企业应建立、实施并保持识别的潜在紧急情况进行应急准备并做出响应所需的过程。</w:t>
      </w:r>
    </w:p>
    <w:p>
      <w:pPr>
        <w:pStyle w:val="21"/>
        <w:rPr>
          <w:rFonts w:hint="eastAsia"/>
          <w:lang w:eastAsia="zh-CN"/>
        </w:rPr>
      </w:pPr>
      <w:r>
        <w:rPr>
          <w:rFonts w:hint="eastAsia"/>
        </w:rPr>
        <w:t>企业应通过策划的措施做好响应紧急情况的准备，以预防或减轻其所带来的不利环境、安全影响</w:t>
      </w:r>
      <w:r>
        <w:rPr>
          <w:rFonts w:hint="eastAsia"/>
          <w:lang w:eastAsia="zh-CN"/>
        </w:rPr>
        <w:t>。</w:t>
      </w:r>
    </w:p>
    <w:p>
      <w:pPr>
        <w:pStyle w:val="21"/>
      </w:pPr>
      <w:r>
        <w:rPr>
          <w:rFonts w:hint="eastAsia"/>
          <w:lang w:val="en-US" w:eastAsia="zh-CN"/>
        </w:rPr>
        <w:t>策划的措施包括但不限于以下</w:t>
      </w:r>
      <w:r>
        <w:rPr>
          <w:rFonts w:hint="eastAsia"/>
        </w:rPr>
        <w:t>：</w:t>
      </w:r>
    </w:p>
    <w:p>
      <w:pPr>
        <w:pStyle w:val="21"/>
        <w:numPr>
          <w:ilvl w:val="0"/>
          <w:numId w:val="69"/>
        </w:numPr>
        <w:ind w:left="420" w:firstLine="0" w:firstLineChars="0"/>
        <w:rPr>
          <w:szCs w:val="22"/>
        </w:rPr>
      </w:pPr>
      <w:r>
        <w:rPr>
          <w:rFonts w:hint="eastAsia"/>
          <w:szCs w:val="22"/>
        </w:rPr>
        <w:t>根据</w:t>
      </w:r>
      <w:r>
        <w:rPr>
          <w:rFonts w:hint="eastAsia"/>
          <w:szCs w:val="22"/>
          <w:lang w:val="en-US" w:eastAsia="zh-CN"/>
        </w:rPr>
        <w:t>面临的</w:t>
      </w:r>
      <w:r>
        <w:rPr>
          <w:rFonts w:hint="eastAsia"/>
          <w:szCs w:val="22"/>
        </w:rPr>
        <w:t>风险状况，识别突发事件，认定潜在的紧急情况</w:t>
      </w:r>
      <w:r>
        <w:rPr>
          <w:rFonts w:hint="eastAsia"/>
          <w:szCs w:val="22"/>
          <w:lang w:eastAsia="zh-CN"/>
        </w:rPr>
        <w:t>；</w:t>
      </w:r>
    </w:p>
    <w:p>
      <w:pPr>
        <w:pStyle w:val="21"/>
        <w:numPr>
          <w:ilvl w:val="0"/>
          <w:numId w:val="69"/>
        </w:numPr>
        <w:ind w:left="420" w:firstLine="0" w:firstLineChars="0"/>
        <w:rPr>
          <w:szCs w:val="22"/>
        </w:rPr>
      </w:pPr>
      <w:r>
        <w:rPr>
          <w:rFonts w:hint="eastAsia"/>
          <w:szCs w:val="22"/>
        </w:rPr>
        <w:t>建立应急救援系统，设立应急组织机构，组建应急队伍，配置胜任的人员，明确机构及人员职责</w:t>
      </w:r>
      <w:r>
        <w:rPr>
          <w:rFonts w:hint="eastAsia"/>
          <w:szCs w:val="22"/>
          <w:lang w:eastAsia="zh-CN"/>
        </w:rPr>
        <w:t>；</w:t>
      </w:r>
    </w:p>
    <w:p>
      <w:pPr>
        <w:pStyle w:val="21"/>
        <w:numPr>
          <w:ilvl w:val="0"/>
          <w:numId w:val="69"/>
        </w:numPr>
        <w:ind w:left="420" w:firstLine="0" w:firstLineChars="0"/>
        <w:rPr>
          <w:szCs w:val="22"/>
        </w:rPr>
      </w:pPr>
      <w:r>
        <w:rPr>
          <w:rFonts w:hint="eastAsia"/>
          <w:szCs w:val="22"/>
        </w:rPr>
        <w:t>可行时，认定紧急情况下可提供援助的外部机构名单及有效的联系方式</w:t>
      </w:r>
      <w:r>
        <w:rPr>
          <w:rFonts w:hint="eastAsia"/>
          <w:szCs w:val="22"/>
          <w:lang w:eastAsia="zh-CN"/>
        </w:rPr>
        <w:t>；</w:t>
      </w:r>
    </w:p>
    <w:p>
      <w:pPr>
        <w:pStyle w:val="21"/>
        <w:numPr>
          <w:ilvl w:val="0"/>
          <w:numId w:val="69"/>
        </w:numPr>
        <w:ind w:left="420" w:firstLine="0" w:firstLineChars="0"/>
        <w:rPr>
          <w:szCs w:val="22"/>
          <w:highlight w:val="none"/>
        </w:rPr>
      </w:pPr>
      <w:r>
        <w:rPr>
          <w:rFonts w:hint="eastAsia"/>
          <w:szCs w:val="22"/>
          <w:highlight w:val="none"/>
        </w:rPr>
        <w:t>建立应急预案体系，编写应急预案、专项应急预案及现场处置方案，并组织评审、正式发布及报备</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建立应急物资保障机制，定期检查、盘点，确保应急物资处于齐全、充足</w:t>
      </w:r>
      <w:r>
        <w:rPr>
          <w:rFonts w:hint="eastAsia"/>
          <w:szCs w:val="22"/>
          <w:highlight w:val="none"/>
          <w:lang w:val="en-US" w:eastAsia="zh-CN"/>
        </w:rPr>
        <w:t>和</w:t>
      </w:r>
      <w:r>
        <w:rPr>
          <w:rFonts w:hint="eastAsia"/>
          <w:szCs w:val="22"/>
          <w:highlight w:val="none"/>
        </w:rPr>
        <w:t>完好状态</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建立应急预警与响应机制，明确启动条件，分层级启动应急预案</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建立应急联动机制，获取应急信息和资源，必要时联动处置突发事件</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定期对员工开展应急培训与演练，使其掌握应急预案的内容、程序与响应要求；并通过演练，检验和完善预案，确保应急预案的有效性。</w:t>
      </w:r>
    </w:p>
    <w:p>
      <w:pPr>
        <w:pStyle w:val="21"/>
        <w:rPr>
          <w:rFonts w:hint="eastAsia"/>
        </w:rPr>
      </w:pPr>
      <w:r>
        <w:rPr>
          <w:rFonts w:hint="eastAsia"/>
        </w:rPr>
        <w:t>企业应保持必要程度的成文信息，以确</w:t>
      </w:r>
      <w:r>
        <w:rPr>
          <w:rFonts w:hint="eastAsia"/>
          <w:lang w:val="en-US" w:eastAsia="zh-CN"/>
        </w:rPr>
        <w:t>认</w:t>
      </w:r>
      <w:r>
        <w:rPr>
          <w:rFonts w:hint="eastAsia"/>
        </w:rPr>
        <w:t>过程准备充分，并得到实施。</w:t>
      </w:r>
    </w:p>
    <w:p>
      <w:pPr>
        <w:pStyle w:val="51"/>
      </w:pPr>
      <w:bookmarkStart w:id="299" w:name="_Toc13883"/>
      <w:bookmarkStart w:id="300" w:name="_Toc15648"/>
      <w:bookmarkStart w:id="301" w:name="_Toc26800"/>
      <w:r>
        <w:t>应急响应</w:t>
      </w:r>
      <w:bookmarkEnd w:id="299"/>
      <w:bookmarkEnd w:id="300"/>
      <w:bookmarkEnd w:id="301"/>
    </w:p>
    <w:p>
      <w:pPr>
        <w:pStyle w:val="21"/>
        <w:rPr>
          <w:rFonts w:hint="eastAsia"/>
          <w:lang w:eastAsia="zh-CN"/>
        </w:rPr>
      </w:pPr>
      <w:r>
        <w:rPr>
          <w:rFonts w:hint="eastAsia"/>
        </w:rPr>
        <w:t>企业应根据紧急情况和潜在环境、安全的影响程度，采取相适应的措施以预防或减轻紧急情况带来的后果</w:t>
      </w:r>
      <w:r>
        <w:rPr>
          <w:rFonts w:hint="eastAsia"/>
          <w:lang w:eastAsia="zh-CN"/>
        </w:rPr>
        <w:t>。</w:t>
      </w:r>
    </w:p>
    <w:p>
      <w:pPr>
        <w:pStyle w:val="21"/>
      </w:pPr>
      <w:r>
        <w:rPr>
          <w:rFonts w:hint="eastAsia"/>
          <w:lang w:val="en-US" w:eastAsia="zh-CN"/>
        </w:rPr>
        <w:t>措施包括但不限于以下</w:t>
      </w:r>
      <w:r>
        <w:rPr>
          <w:rFonts w:hint="eastAsia"/>
        </w:rPr>
        <w:t>：</w:t>
      </w:r>
    </w:p>
    <w:p>
      <w:pPr>
        <w:pStyle w:val="21"/>
        <w:numPr>
          <w:ilvl w:val="0"/>
          <w:numId w:val="70"/>
        </w:numPr>
        <w:ind w:left="420" w:firstLine="0" w:firstLineChars="0"/>
        <w:rPr>
          <w:szCs w:val="22"/>
          <w:highlight w:val="none"/>
        </w:rPr>
      </w:pPr>
      <w:r>
        <w:rPr>
          <w:rFonts w:hint="eastAsia"/>
          <w:szCs w:val="22"/>
          <w:highlight w:val="none"/>
        </w:rPr>
        <w:t>信息报送</w:t>
      </w:r>
      <w:r>
        <w:rPr>
          <w:rFonts w:hint="eastAsia"/>
          <w:szCs w:val="22"/>
          <w:highlight w:val="none"/>
          <w:lang w:eastAsia="zh-CN"/>
        </w:rPr>
        <w:t>：</w:t>
      </w:r>
      <w:r>
        <w:rPr>
          <w:rFonts w:hint="eastAsia"/>
          <w:szCs w:val="22"/>
          <w:highlight w:val="none"/>
        </w:rPr>
        <w:t>各级人员应按规定时间、程序、方式和内容向上级及政府报送信息，并以适当的方式及时向媒体、公众和重要用户发布</w:t>
      </w:r>
      <w:r>
        <w:rPr>
          <w:rFonts w:hint="eastAsia"/>
          <w:szCs w:val="22"/>
          <w:highlight w:val="none"/>
          <w:lang w:val="en-US" w:eastAsia="zh-CN"/>
        </w:rPr>
        <w:t>紧急情况</w:t>
      </w:r>
      <w:r>
        <w:rPr>
          <w:rFonts w:hint="eastAsia"/>
          <w:szCs w:val="22"/>
          <w:highlight w:val="none"/>
        </w:rPr>
        <w:t>影响等相关信息</w:t>
      </w:r>
      <w:r>
        <w:rPr>
          <w:rFonts w:hint="eastAsia"/>
          <w:szCs w:val="22"/>
          <w:highlight w:val="none"/>
          <w:lang w:eastAsia="zh-CN"/>
        </w:rPr>
        <w:t>；</w:t>
      </w:r>
    </w:p>
    <w:p>
      <w:pPr>
        <w:pStyle w:val="21"/>
        <w:numPr>
          <w:ilvl w:val="0"/>
          <w:numId w:val="70"/>
        </w:numPr>
        <w:ind w:left="420" w:firstLine="0" w:firstLineChars="0"/>
        <w:rPr>
          <w:szCs w:val="22"/>
          <w:highlight w:val="none"/>
        </w:rPr>
      </w:pPr>
      <w:r>
        <w:rPr>
          <w:rFonts w:hint="eastAsia"/>
          <w:szCs w:val="22"/>
          <w:highlight w:val="none"/>
        </w:rPr>
        <w:t>应急启动</w:t>
      </w:r>
      <w:r>
        <w:rPr>
          <w:rFonts w:hint="eastAsia"/>
          <w:szCs w:val="22"/>
          <w:highlight w:val="none"/>
          <w:lang w:eastAsia="zh-CN"/>
        </w:rPr>
        <w:t>：</w:t>
      </w:r>
      <w:r>
        <w:rPr>
          <w:rFonts w:hint="eastAsia"/>
          <w:szCs w:val="22"/>
          <w:highlight w:val="none"/>
        </w:rPr>
        <w:t>应急响应小组应按应急预案的要求履行职责</w:t>
      </w:r>
      <w:r>
        <w:rPr>
          <w:rFonts w:hint="eastAsia"/>
          <w:szCs w:val="22"/>
          <w:highlight w:val="none"/>
          <w:lang w:eastAsia="zh-CN"/>
        </w:rPr>
        <w:t>，</w:t>
      </w:r>
      <w:r>
        <w:rPr>
          <w:rFonts w:hint="eastAsia"/>
          <w:szCs w:val="22"/>
          <w:highlight w:val="none"/>
        </w:rPr>
        <w:t>及时、有效地进行处置，控制事态</w:t>
      </w:r>
      <w:r>
        <w:rPr>
          <w:rFonts w:hint="eastAsia"/>
          <w:szCs w:val="22"/>
          <w:highlight w:val="none"/>
          <w:lang w:eastAsia="zh-CN"/>
        </w:rPr>
        <w:t>；</w:t>
      </w:r>
    </w:p>
    <w:p>
      <w:pPr>
        <w:pStyle w:val="21"/>
        <w:numPr>
          <w:ilvl w:val="0"/>
          <w:numId w:val="70"/>
        </w:numPr>
        <w:ind w:left="420" w:firstLine="0" w:firstLineChars="0"/>
        <w:rPr>
          <w:szCs w:val="22"/>
          <w:highlight w:val="none"/>
        </w:rPr>
      </w:pPr>
      <w:r>
        <w:rPr>
          <w:rFonts w:hint="eastAsia"/>
          <w:szCs w:val="22"/>
          <w:highlight w:val="none"/>
        </w:rPr>
        <w:t>应急处置</w:t>
      </w:r>
      <w:r>
        <w:rPr>
          <w:rFonts w:hint="eastAsia"/>
          <w:szCs w:val="22"/>
          <w:highlight w:val="none"/>
          <w:lang w:eastAsia="zh-CN"/>
        </w:rPr>
        <w:t>：</w:t>
      </w:r>
      <w:r>
        <w:rPr>
          <w:rFonts w:hint="eastAsia"/>
          <w:szCs w:val="22"/>
          <w:highlight w:val="none"/>
        </w:rPr>
        <w:t>应急响应小组应根据现场情况立即制定应急处置措施</w:t>
      </w:r>
      <w:r>
        <w:rPr>
          <w:rFonts w:hint="eastAsia"/>
          <w:szCs w:val="22"/>
          <w:highlight w:val="none"/>
          <w:lang w:eastAsia="zh-CN"/>
        </w:rPr>
        <w:t>；</w:t>
      </w:r>
    </w:p>
    <w:p>
      <w:pPr>
        <w:pStyle w:val="21"/>
        <w:numPr>
          <w:ilvl w:val="0"/>
          <w:numId w:val="70"/>
        </w:numPr>
        <w:ind w:left="420" w:firstLine="0" w:firstLineChars="0"/>
        <w:rPr>
          <w:szCs w:val="22"/>
          <w:highlight w:val="none"/>
        </w:rPr>
      </w:pPr>
      <w:r>
        <w:rPr>
          <w:rFonts w:hint="eastAsia"/>
          <w:szCs w:val="22"/>
          <w:highlight w:val="none"/>
        </w:rPr>
        <w:t>响应结束</w:t>
      </w:r>
      <w:r>
        <w:rPr>
          <w:rFonts w:hint="eastAsia"/>
          <w:szCs w:val="22"/>
          <w:highlight w:val="none"/>
          <w:lang w:eastAsia="zh-CN"/>
        </w:rPr>
        <w:t>：</w:t>
      </w:r>
      <w:r>
        <w:rPr>
          <w:rFonts w:hint="eastAsia"/>
          <w:szCs w:val="22"/>
          <w:highlight w:val="none"/>
        </w:rPr>
        <w:t>应做好突发事件后果的影响消除、施工秩序恢复、污染物处理、善后理赔、应急能力评估、对应急预案的评价和改进等后期处置工作。</w:t>
      </w:r>
    </w:p>
    <w:p>
      <w:pPr>
        <w:pStyle w:val="21"/>
      </w:pPr>
      <w:r>
        <w:rPr>
          <w:rFonts w:hint="eastAsia"/>
        </w:rPr>
        <w:t>企业应保持必要程度的成文信息，以作为应急响应的证据。</w:t>
      </w:r>
    </w:p>
    <w:p>
      <w:pPr>
        <w:pStyle w:val="51"/>
      </w:pPr>
      <w:bookmarkStart w:id="302" w:name="_Toc13822"/>
      <w:bookmarkStart w:id="303" w:name="_Toc31788"/>
      <w:bookmarkStart w:id="304" w:name="_Toc10829"/>
      <w:r>
        <w:t>处置评估</w:t>
      </w:r>
      <w:bookmarkEnd w:id="302"/>
      <w:bookmarkEnd w:id="303"/>
      <w:bookmarkEnd w:id="304"/>
    </w:p>
    <w:p>
      <w:pPr>
        <w:pStyle w:val="21"/>
      </w:pPr>
      <w:r>
        <w:rPr>
          <w:rFonts w:hint="eastAsia"/>
        </w:rPr>
        <w:t>企业应对应急管理的准备与响应全过程开展评估，查找、分析问题和薄弱环节，制定整改措施和计划，建立持续改进提升机制。</w:t>
      </w:r>
    </w:p>
    <w:p>
      <w:pPr>
        <w:pStyle w:val="21"/>
      </w:pPr>
      <w:r>
        <w:rPr>
          <w:rFonts w:hint="eastAsia"/>
        </w:rPr>
        <w:t>处置评估包括但不限于以下：</w:t>
      </w:r>
    </w:p>
    <w:p>
      <w:pPr>
        <w:pStyle w:val="21"/>
        <w:numPr>
          <w:ilvl w:val="0"/>
          <w:numId w:val="71"/>
        </w:numPr>
        <w:ind w:left="420" w:firstLine="0" w:firstLineChars="0"/>
        <w:rPr>
          <w:szCs w:val="22"/>
        </w:rPr>
      </w:pPr>
      <w:r>
        <w:rPr>
          <w:rFonts w:hint="eastAsia"/>
          <w:szCs w:val="22"/>
        </w:rPr>
        <w:t>事前准备阶段：预警监测、预警发布、预警行动、预警调整、预警解除；</w:t>
      </w:r>
    </w:p>
    <w:p>
      <w:pPr>
        <w:pStyle w:val="21"/>
        <w:numPr>
          <w:ilvl w:val="0"/>
          <w:numId w:val="71"/>
        </w:numPr>
        <w:ind w:left="420" w:firstLine="0" w:firstLineChars="0"/>
        <w:rPr>
          <w:szCs w:val="22"/>
        </w:rPr>
      </w:pPr>
      <w:r>
        <w:rPr>
          <w:rFonts w:hint="eastAsia"/>
          <w:szCs w:val="22"/>
        </w:rPr>
        <w:t>事中处置阶段：先期处置、响应发布、响应调整、响应结束、应急组织、信息报送、响应阶段保障、应急联动、专业处置；</w:t>
      </w:r>
    </w:p>
    <w:p>
      <w:pPr>
        <w:pStyle w:val="21"/>
        <w:numPr>
          <w:ilvl w:val="0"/>
          <w:numId w:val="71"/>
        </w:numPr>
        <w:ind w:left="420" w:firstLine="0" w:firstLineChars="0"/>
        <w:rPr>
          <w:szCs w:val="22"/>
        </w:rPr>
      </w:pPr>
      <w:r>
        <w:rPr>
          <w:rFonts w:hint="eastAsia"/>
          <w:szCs w:val="22"/>
        </w:rPr>
        <w:t>事后恢复阶段：风险防控、恢复生产、总结工作开展情况、评估整改制定情况。</w:t>
      </w:r>
    </w:p>
    <w:p>
      <w:pPr>
        <w:pStyle w:val="21"/>
      </w:pPr>
      <w:r>
        <w:rPr>
          <w:rFonts w:hint="eastAsia"/>
        </w:rPr>
        <w:t>企业应保持必要程度的成文信息，以作为处置评估的证据。</w:t>
      </w:r>
    </w:p>
    <w:p>
      <w:pPr>
        <w:pStyle w:val="94"/>
        <w:rPr>
          <w:rFonts w:hint="default"/>
          <w:szCs w:val="22"/>
          <w:lang w:val="en-US" w:eastAsia="zh-CN"/>
        </w:rPr>
      </w:pPr>
      <w:bookmarkStart w:id="305" w:name="_Toc2410"/>
      <w:bookmarkStart w:id="306" w:name="_Toc2538"/>
      <w:r>
        <w:rPr>
          <w:rFonts w:hint="default"/>
          <w:szCs w:val="22"/>
          <w:lang w:val="en-US" w:eastAsia="zh-CN"/>
        </w:rPr>
        <w:t>绩效评价</w:t>
      </w:r>
      <w:bookmarkEnd w:id="298"/>
      <w:bookmarkEnd w:id="305"/>
      <w:bookmarkEnd w:id="306"/>
    </w:p>
    <w:p>
      <w:pPr>
        <w:pStyle w:val="51"/>
        <w:bidi w:val="0"/>
        <w:ind w:left="0" w:leftChars="0" w:firstLine="0" w:firstLineChars="0"/>
        <w:rPr>
          <w:rFonts w:hint="default"/>
          <w:lang w:val="en-US" w:eastAsia="zh-CN"/>
        </w:rPr>
      </w:pPr>
      <w:bookmarkStart w:id="307" w:name="_Toc16556"/>
      <w:bookmarkStart w:id="308" w:name="_Toc3174"/>
      <w:bookmarkStart w:id="309" w:name="_Toc16738"/>
      <w:r>
        <w:rPr>
          <w:rFonts w:hint="default"/>
          <w:lang w:val="en-US" w:eastAsia="zh-CN"/>
        </w:rPr>
        <w:t>安全检查</w:t>
      </w:r>
      <w:bookmarkEnd w:id="307"/>
      <w:bookmarkEnd w:id="308"/>
      <w:bookmarkEnd w:id="309"/>
    </w:p>
    <w:p>
      <w:pPr>
        <w:pStyle w:val="21"/>
        <w:rPr>
          <w:rFonts w:hint="eastAsia"/>
          <w:lang w:val="en-US" w:eastAsia="zh-CN"/>
        </w:rPr>
      </w:pPr>
      <w:r>
        <w:rPr>
          <w:rFonts w:hint="eastAsia"/>
          <w:lang w:val="en-US" w:eastAsia="zh-CN"/>
        </w:rPr>
        <w:t>企业应按照计划的时间间隔进行检查以评价其安全绩效。</w:t>
      </w:r>
    </w:p>
    <w:p>
      <w:pPr>
        <w:pStyle w:val="21"/>
        <w:rPr>
          <w:rFonts w:hint="eastAsia"/>
          <w:lang w:val="en-US" w:eastAsia="zh-CN"/>
        </w:rPr>
      </w:pPr>
      <w:r>
        <w:rPr>
          <w:rFonts w:hint="eastAsia"/>
          <w:lang w:val="en-US" w:eastAsia="zh-CN"/>
        </w:rPr>
        <w:t>企业应确定：</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需要检查的内容；</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适用时的检查方法，以确保有效的结果；</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评价安全绩效所依据的制度和适当的参数；</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何人开展安全检查；</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何时应实施检查；</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何时应分析和评价安全检查的结果。</w:t>
      </w:r>
    </w:p>
    <w:p>
      <w:pPr>
        <w:pStyle w:val="21"/>
        <w:rPr>
          <w:rFonts w:hint="eastAsia"/>
          <w:lang w:val="en-US" w:eastAsia="zh-CN"/>
        </w:rPr>
      </w:pPr>
      <w:r>
        <w:rPr>
          <w:rFonts w:hint="eastAsia"/>
          <w:lang w:val="en-US" w:eastAsia="zh-CN"/>
        </w:rPr>
        <w:t>适当时，企业应确保使用和维护经校准或验证的检查设备设施。</w:t>
      </w:r>
    </w:p>
    <w:p>
      <w:pPr>
        <w:pStyle w:val="21"/>
        <w:rPr>
          <w:rFonts w:hint="eastAsia"/>
          <w:lang w:val="en-US" w:eastAsia="zh-CN"/>
        </w:rPr>
      </w:pPr>
      <w:r>
        <w:rPr>
          <w:rFonts w:hint="eastAsia"/>
          <w:lang w:val="en-US" w:eastAsia="zh-CN"/>
        </w:rPr>
        <w:t>企业应评价其安全绩效和安全与风险综合管理体系的有效性。</w:t>
      </w:r>
    </w:p>
    <w:p>
      <w:pPr>
        <w:pStyle w:val="21"/>
        <w:rPr>
          <w:rFonts w:hint="default"/>
          <w:lang w:val="en-US" w:eastAsia="zh-CN"/>
        </w:rPr>
      </w:pPr>
      <w:r>
        <w:rPr>
          <w:rFonts w:hint="eastAsia"/>
          <w:lang w:val="en-US" w:eastAsia="zh-CN"/>
        </w:rPr>
        <w:t>企业应保留适当的成文信息，作为安全检查、分析和评价结果的证据。</w:t>
      </w:r>
    </w:p>
    <w:p>
      <w:pPr>
        <w:pStyle w:val="51"/>
        <w:bidi w:val="0"/>
        <w:ind w:left="0" w:leftChars="0" w:firstLine="0" w:firstLineChars="0"/>
        <w:rPr>
          <w:rFonts w:hint="default"/>
          <w:lang w:val="en-US" w:eastAsia="zh-CN"/>
        </w:rPr>
      </w:pPr>
      <w:bookmarkStart w:id="310" w:name="_Toc18785"/>
      <w:bookmarkStart w:id="311" w:name="_Toc13542"/>
      <w:bookmarkStart w:id="312" w:name="_Toc9649"/>
      <w:r>
        <w:rPr>
          <w:rFonts w:hint="default"/>
          <w:lang w:val="en-US" w:eastAsia="zh-CN"/>
        </w:rPr>
        <w:t>绩效考核</w:t>
      </w:r>
      <w:bookmarkEnd w:id="310"/>
      <w:bookmarkEnd w:id="311"/>
      <w:bookmarkEnd w:id="312"/>
    </w:p>
    <w:p>
      <w:pPr>
        <w:pStyle w:val="21"/>
        <w:rPr>
          <w:rFonts w:hint="eastAsia"/>
          <w:lang w:val="en-US" w:eastAsia="zh-CN"/>
        </w:rPr>
      </w:pPr>
      <w:r>
        <w:rPr>
          <w:rFonts w:hint="eastAsia"/>
          <w:lang w:val="en-US" w:eastAsia="zh-CN"/>
        </w:rPr>
        <w:t>企业应按计划的时间间隔实施绩效考核，以对安全与风险综合管理体系的绩效进行激励或者问责。</w:t>
      </w:r>
    </w:p>
    <w:p>
      <w:pPr>
        <w:pStyle w:val="21"/>
        <w:rPr>
          <w:rFonts w:hint="eastAsia"/>
          <w:lang w:val="en-US" w:eastAsia="zh-CN"/>
        </w:rPr>
      </w:pPr>
      <w:r>
        <w:rPr>
          <w:rFonts w:hint="eastAsia"/>
          <w:lang w:val="en-US" w:eastAsia="zh-CN"/>
        </w:rPr>
        <w:t>企业应确定：</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绩效考核的范围；</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绩效考核的对象；</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适用的考核办法，以确保有效的结果；</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适用的激励方式；</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适当的问责方式。</w:t>
      </w:r>
    </w:p>
    <w:p>
      <w:pPr>
        <w:pStyle w:val="21"/>
        <w:rPr>
          <w:rFonts w:hint="default"/>
          <w:lang w:val="en-US" w:eastAsia="zh-CN"/>
        </w:rPr>
      </w:pPr>
      <w:r>
        <w:rPr>
          <w:rFonts w:hint="eastAsia"/>
          <w:lang w:val="en-US" w:eastAsia="zh-CN"/>
        </w:rPr>
        <w:t>企业应保留适当的成文信息，作为绩效考核的证据。</w:t>
      </w:r>
    </w:p>
    <w:p>
      <w:pPr>
        <w:pStyle w:val="51"/>
        <w:bidi w:val="0"/>
        <w:ind w:left="0" w:leftChars="0" w:firstLine="0" w:firstLineChars="0"/>
        <w:rPr>
          <w:rFonts w:hint="default"/>
          <w:lang w:val="en-US" w:eastAsia="zh-CN"/>
        </w:rPr>
      </w:pPr>
      <w:bookmarkStart w:id="313" w:name="_Toc383"/>
      <w:bookmarkStart w:id="314" w:name="_Toc12221"/>
      <w:bookmarkStart w:id="315" w:name="_Toc11105"/>
      <w:r>
        <w:rPr>
          <w:rFonts w:hint="eastAsia"/>
          <w:lang w:val="en-US" w:eastAsia="zh-CN"/>
        </w:rPr>
        <w:t>内部审核</w:t>
      </w:r>
      <w:bookmarkEnd w:id="313"/>
      <w:bookmarkEnd w:id="314"/>
    </w:p>
    <w:bookmarkEnd w:id="315"/>
    <w:p>
      <w:pPr>
        <w:pStyle w:val="21"/>
        <w:rPr>
          <w:rFonts w:hint="eastAsia"/>
          <w:lang w:val="en-US" w:eastAsia="zh-CN"/>
        </w:rPr>
      </w:pPr>
      <w:r>
        <w:rPr>
          <w:rFonts w:hint="eastAsia"/>
          <w:lang w:val="en-US" w:eastAsia="zh-CN"/>
        </w:rPr>
        <w:t>企业应按计划的时间间隔实施内部审核，以提供下列关于安全与风险综合管理体系的信息：</w:t>
      </w:r>
    </w:p>
    <w:p>
      <w:pPr>
        <w:pStyle w:val="21"/>
        <w:numPr>
          <w:ilvl w:val="0"/>
          <w:numId w:val="74"/>
        </w:numPr>
        <w:ind w:left="420" w:leftChars="0" w:firstLine="0" w:firstLineChars="0"/>
        <w:rPr>
          <w:rFonts w:hint="eastAsia"/>
          <w:szCs w:val="22"/>
          <w:lang w:val="en-US" w:eastAsia="zh-CN"/>
        </w:rPr>
      </w:pPr>
      <w:r>
        <w:rPr>
          <w:rFonts w:hint="eastAsia"/>
          <w:szCs w:val="22"/>
          <w:lang w:val="en-US" w:eastAsia="zh-CN"/>
        </w:rPr>
        <w:t>是否符合安全与风险综合管理体系的要求；</w:t>
      </w:r>
    </w:p>
    <w:p>
      <w:pPr>
        <w:pStyle w:val="21"/>
        <w:numPr>
          <w:ilvl w:val="0"/>
          <w:numId w:val="74"/>
        </w:numPr>
        <w:ind w:left="420" w:leftChars="0" w:firstLine="0" w:firstLineChars="0"/>
        <w:rPr>
          <w:rFonts w:hint="default"/>
          <w:szCs w:val="22"/>
          <w:lang w:val="en-US" w:eastAsia="zh-CN"/>
        </w:rPr>
      </w:pPr>
      <w:r>
        <w:rPr>
          <w:rFonts w:hint="eastAsia"/>
          <w:szCs w:val="22"/>
          <w:lang w:val="en-US" w:eastAsia="zh-CN"/>
        </w:rPr>
        <w:t>是否得到了有效的实施和保持。</w:t>
      </w:r>
    </w:p>
    <w:p>
      <w:pPr>
        <w:pStyle w:val="21"/>
        <w:numPr>
          <w:ilvl w:val="0"/>
          <w:numId w:val="0"/>
        </w:numPr>
        <w:ind w:firstLine="420" w:firstLineChars="200"/>
        <w:rPr>
          <w:rFonts w:hint="eastAsia"/>
          <w:szCs w:val="22"/>
          <w:lang w:val="en-US" w:eastAsia="zh-CN"/>
        </w:rPr>
      </w:pPr>
      <w:r>
        <w:rPr>
          <w:rFonts w:hint="eastAsia"/>
          <w:szCs w:val="22"/>
          <w:lang w:val="en-US" w:eastAsia="zh-CN"/>
        </w:rPr>
        <w:t>企业应建立、实施并保持一个或多个内部审核方案，包括实施审核的频次、方法、职责、策划要求和内部审核报告。</w:t>
      </w:r>
    </w:p>
    <w:p>
      <w:pPr>
        <w:pStyle w:val="21"/>
        <w:numPr>
          <w:ilvl w:val="0"/>
          <w:numId w:val="0"/>
        </w:numPr>
        <w:ind w:firstLine="420" w:firstLineChars="200"/>
        <w:rPr>
          <w:rFonts w:hint="eastAsia"/>
          <w:szCs w:val="22"/>
          <w:lang w:val="en-US" w:eastAsia="zh-CN"/>
        </w:rPr>
      </w:pPr>
      <w:r>
        <w:rPr>
          <w:rFonts w:hint="eastAsia"/>
          <w:szCs w:val="22"/>
          <w:lang w:val="en-US" w:eastAsia="zh-CN"/>
        </w:rPr>
        <w:t>建立内部审核方案时，企业必须考虑相关过程的安全重要性、影响企业的变化以及以往审核的结果。</w:t>
      </w:r>
    </w:p>
    <w:p>
      <w:pPr>
        <w:pStyle w:val="21"/>
        <w:numPr>
          <w:ilvl w:val="0"/>
          <w:numId w:val="0"/>
        </w:numPr>
        <w:ind w:firstLine="420" w:firstLineChars="200"/>
        <w:rPr>
          <w:rFonts w:hint="eastAsia"/>
          <w:szCs w:val="22"/>
          <w:lang w:val="en-US" w:eastAsia="zh-CN"/>
        </w:rPr>
      </w:pPr>
      <w:r>
        <w:rPr>
          <w:rFonts w:hint="eastAsia"/>
          <w:szCs w:val="22"/>
          <w:lang w:val="en-US" w:eastAsia="zh-CN"/>
        </w:rPr>
        <w:t>企业应：</w:t>
      </w:r>
    </w:p>
    <w:p>
      <w:pPr>
        <w:pStyle w:val="21"/>
        <w:numPr>
          <w:ilvl w:val="0"/>
          <w:numId w:val="0"/>
        </w:numPr>
        <w:ind w:firstLine="420" w:firstLineChars="200"/>
        <w:rPr>
          <w:rFonts w:hint="eastAsia"/>
          <w:szCs w:val="22"/>
          <w:lang w:val="en-US" w:eastAsia="zh-CN"/>
        </w:rPr>
      </w:pPr>
      <w:r>
        <w:rPr>
          <w:rFonts w:hint="eastAsia"/>
          <w:szCs w:val="22"/>
          <w:lang w:val="en-US" w:eastAsia="zh-CN"/>
        </w:rPr>
        <w:t>——规定每次审核的准则和范围；</w:t>
      </w:r>
    </w:p>
    <w:p>
      <w:pPr>
        <w:pStyle w:val="21"/>
        <w:numPr>
          <w:ilvl w:val="0"/>
          <w:numId w:val="0"/>
        </w:numPr>
        <w:ind w:firstLine="420" w:firstLineChars="200"/>
        <w:rPr>
          <w:rFonts w:hint="eastAsia"/>
          <w:szCs w:val="22"/>
          <w:lang w:val="en-US" w:eastAsia="zh-CN"/>
        </w:rPr>
      </w:pPr>
      <w:r>
        <w:rPr>
          <w:rFonts w:hint="eastAsia"/>
          <w:szCs w:val="22"/>
          <w:lang w:val="en-US" w:eastAsia="zh-CN"/>
        </w:rPr>
        <w:t>——选择合适的审核员并实施审核，确保审核过程的客观性与公正性；</w:t>
      </w:r>
    </w:p>
    <w:p>
      <w:pPr>
        <w:pStyle w:val="21"/>
        <w:numPr>
          <w:ilvl w:val="0"/>
          <w:numId w:val="0"/>
        </w:numPr>
        <w:ind w:firstLine="420" w:firstLineChars="200"/>
        <w:rPr>
          <w:rFonts w:hint="eastAsia"/>
          <w:szCs w:val="22"/>
          <w:lang w:val="en-US" w:eastAsia="zh-CN"/>
        </w:rPr>
      </w:pPr>
      <w:r>
        <w:rPr>
          <w:rFonts w:hint="eastAsia"/>
          <w:szCs w:val="22"/>
          <w:lang w:val="en-US" w:eastAsia="zh-CN"/>
        </w:rPr>
        <w:t>——确保向相关管理者报告审核结果。</w:t>
      </w:r>
    </w:p>
    <w:p>
      <w:pPr>
        <w:pStyle w:val="21"/>
        <w:numPr>
          <w:ilvl w:val="0"/>
          <w:numId w:val="0"/>
        </w:numPr>
        <w:ind w:firstLine="420" w:firstLineChars="200"/>
        <w:rPr>
          <w:rFonts w:hint="default"/>
          <w:szCs w:val="22"/>
          <w:lang w:val="en-US" w:eastAsia="zh-CN"/>
        </w:rPr>
      </w:pPr>
      <w:r>
        <w:rPr>
          <w:rFonts w:hint="eastAsia"/>
          <w:szCs w:val="22"/>
          <w:lang w:val="en-US" w:eastAsia="zh-CN"/>
        </w:rPr>
        <w:t>企业应保留成文信息，作为内部审核方案实施和审核结果的证据。</w:t>
      </w:r>
    </w:p>
    <w:p>
      <w:pPr>
        <w:pStyle w:val="51"/>
        <w:bidi w:val="0"/>
        <w:ind w:left="0" w:leftChars="0" w:firstLine="0" w:firstLineChars="0"/>
        <w:rPr>
          <w:rFonts w:hint="default"/>
          <w:lang w:val="en-US" w:eastAsia="zh-CN"/>
        </w:rPr>
      </w:pPr>
      <w:bookmarkStart w:id="316" w:name="_Toc2399"/>
      <w:bookmarkStart w:id="317" w:name="_Toc16618"/>
      <w:bookmarkStart w:id="318" w:name="_Toc1622"/>
      <w:r>
        <w:rPr>
          <w:rFonts w:hint="default"/>
          <w:lang w:val="en-US" w:eastAsia="zh-CN"/>
        </w:rPr>
        <w:t>外部审核</w:t>
      </w:r>
      <w:bookmarkEnd w:id="316"/>
      <w:bookmarkEnd w:id="317"/>
      <w:bookmarkEnd w:id="318"/>
    </w:p>
    <w:p>
      <w:pPr>
        <w:pStyle w:val="21"/>
        <w:rPr>
          <w:rFonts w:hint="eastAsia"/>
          <w:lang w:val="en-US" w:eastAsia="zh-CN"/>
        </w:rPr>
      </w:pPr>
      <w:r>
        <w:rPr>
          <w:rFonts w:hint="eastAsia"/>
          <w:lang w:val="en-US" w:eastAsia="zh-CN"/>
        </w:rPr>
        <w:t>企业可委托外部机构按策划的时间间隔对企业进行外部审核，以</w:t>
      </w:r>
      <w:r>
        <w:rPr>
          <w:rFonts w:hint="eastAsia"/>
        </w:rPr>
        <w:t>对自我声明进行确认</w:t>
      </w:r>
      <w:r>
        <w:rPr>
          <w:rFonts w:hint="eastAsia"/>
          <w:lang w:val="en-US" w:eastAsia="zh-CN"/>
        </w:rPr>
        <w:t>。</w:t>
      </w:r>
    </w:p>
    <w:p>
      <w:pPr>
        <w:pStyle w:val="21"/>
        <w:rPr>
          <w:rFonts w:hint="eastAsia"/>
          <w:lang w:val="en-US" w:eastAsia="zh-CN"/>
        </w:rPr>
      </w:pPr>
      <w:r>
        <w:rPr>
          <w:rFonts w:hint="eastAsia"/>
          <w:lang w:val="en-US" w:eastAsia="zh-CN"/>
        </w:rPr>
        <w:t>企业在实施外部审核前应确保：</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完成规定的内部审核和管理评审；</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与审核方充分沟通，确定审核时间；</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按审核方要求，收集整理需要的审核资料；</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准备好审核需要的资源。</w:t>
      </w:r>
    </w:p>
    <w:p>
      <w:pPr>
        <w:pStyle w:val="21"/>
        <w:rPr>
          <w:rFonts w:hint="default"/>
          <w:lang w:val="en-US" w:eastAsia="zh-CN"/>
        </w:rPr>
      </w:pPr>
      <w:r>
        <w:rPr>
          <w:rFonts w:hint="eastAsia"/>
          <w:lang w:val="en-US" w:eastAsia="zh-CN"/>
        </w:rPr>
        <w:t>企业可对外部审核认定的安全与风险综合管理体系结果进行公告。</w:t>
      </w:r>
    </w:p>
    <w:p>
      <w:pPr>
        <w:pStyle w:val="51"/>
        <w:bidi w:val="0"/>
        <w:ind w:left="0" w:leftChars="0" w:firstLine="0" w:firstLineChars="0"/>
        <w:rPr>
          <w:rFonts w:hint="default"/>
          <w:lang w:val="en-US" w:eastAsia="zh-CN"/>
        </w:rPr>
      </w:pPr>
      <w:bookmarkStart w:id="319" w:name="_Toc7164"/>
      <w:bookmarkStart w:id="320" w:name="_Toc11333"/>
      <w:bookmarkStart w:id="321" w:name="_Toc4403"/>
      <w:r>
        <w:rPr>
          <w:rFonts w:hint="default"/>
          <w:lang w:val="en-US" w:eastAsia="zh-CN"/>
        </w:rPr>
        <w:t>管理评审</w:t>
      </w:r>
      <w:bookmarkEnd w:id="319"/>
      <w:bookmarkEnd w:id="320"/>
      <w:bookmarkEnd w:id="321"/>
    </w:p>
    <w:p>
      <w:pPr>
        <w:pStyle w:val="21"/>
        <w:rPr>
          <w:rFonts w:hint="eastAsia"/>
          <w:lang w:val="en-US" w:eastAsia="zh-CN"/>
        </w:rPr>
      </w:pPr>
      <w:r>
        <w:rPr>
          <w:rFonts w:hint="eastAsia"/>
          <w:lang w:val="en-US" w:eastAsia="zh-CN"/>
        </w:rPr>
        <w:t>最高管理者应按策划的时间间隔对企业的安全与风险综合管理体系进行评审，以确保其持续的适宜性、充分性和有效性。</w:t>
      </w:r>
    </w:p>
    <w:p>
      <w:pPr>
        <w:pStyle w:val="21"/>
        <w:rPr>
          <w:rFonts w:hint="eastAsia"/>
          <w:lang w:val="en-US" w:eastAsia="zh-CN"/>
        </w:rPr>
      </w:pPr>
      <w:r>
        <w:rPr>
          <w:rFonts w:hint="eastAsia"/>
          <w:lang w:val="en-US" w:eastAsia="zh-CN"/>
        </w:rPr>
        <w:t>管理评审应包括对下列事项的考虑：</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以往管理评审所采取措施的状况；</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和安全与风险综合管理体系相关的内部和外部议题的变化，包括：</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1）相关方的需求和期望；</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2）合规义务；</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3）风险和机遇；</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安全与风险方针和目标指标的实现程度；</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安全绩效方面的信息，包括以下方面的趋势：</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1）事故、事件、不符合、纠正措施和持续改进；</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2）监视和测量的结果；</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3）合规性评价的结果（合规申明）；</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4）审核结果；</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5）工作人员的协商和参与；</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6）风险和机遇；</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保持有效的安全与风险综合管理体系所需资源的充分性；</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与相关方的有关沟通；</w:t>
      </w:r>
    </w:p>
    <w:p>
      <w:pPr>
        <w:pStyle w:val="21"/>
        <w:numPr>
          <w:ilvl w:val="0"/>
          <w:numId w:val="76"/>
        </w:numPr>
        <w:ind w:left="420" w:leftChars="0" w:firstLine="0" w:firstLineChars="0"/>
        <w:rPr>
          <w:rFonts w:hint="default"/>
          <w:szCs w:val="22"/>
          <w:lang w:val="en-US" w:eastAsia="zh-CN"/>
        </w:rPr>
      </w:pPr>
      <w:r>
        <w:rPr>
          <w:rFonts w:hint="eastAsia"/>
          <w:szCs w:val="22"/>
          <w:lang w:val="en-US" w:eastAsia="zh-CN"/>
        </w:rPr>
        <w:t>持续改进的机会。</w:t>
      </w:r>
    </w:p>
    <w:p>
      <w:pPr>
        <w:pStyle w:val="21"/>
        <w:numPr>
          <w:ilvl w:val="0"/>
          <w:numId w:val="0"/>
        </w:numPr>
        <w:ind w:left="420" w:leftChars="0"/>
        <w:rPr>
          <w:rFonts w:hint="eastAsia"/>
          <w:szCs w:val="22"/>
          <w:lang w:val="en-US" w:eastAsia="zh-CN"/>
        </w:rPr>
      </w:pPr>
      <w:r>
        <w:rPr>
          <w:rFonts w:hint="eastAsia"/>
          <w:szCs w:val="22"/>
          <w:lang w:val="en-US" w:eastAsia="zh-CN"/>
        </w:rPr>
        <w:t>管理评审的输出应包括与下列事项有关的决定：</w:t>
      </w:r>
    </w:p>
    <w:p>
      <w:pPr>
        <w:pStyle w:val="21"/>
        <w:numPr>
          <w:ilvl w:val="0"/>
          <w:numId w:val="0"/>
        </w:numPr>
        <w:ind w:left="420" w:leftChars="0"/>
        <w:rPr>
          <w:rFonts w:hint="eastAsia"/>
          <w:szCs w:val="22"/>
          <w:lang w:val="en-US" w:eastAsia="zh-CN"/>
        </w:rPr>
      </w:pPr>
      <w:r>
        <w:rPr>
          <w:rFonts w:hint="eastAsia"/>
          <w:szCs w:val="22"/>
          <w:lang w:val="en-US" w:eastAsia="zh-CN"/>
        </w:rPr>
        <w:t>——安全与风险综合管理体系在实现其预期结果方面的持续适宜性、充分性和有效性；</w:t>
      </w:r>
    </w:p>
    <w:p>
      <w:pPr>
        <w:pStyle w:val="21"/>
        <w:numPr>
          <w:ilvl w:val="0"/>
          <w:numId w:val="0"/>
        </w:numPr>
        <w:ind w:left="420" w:leftChars="0"/>
        <w:rPr>
          <w:rFonts w:hint="eastAsia"/>
          <w:szCs w:val="22"/>
          <w:lang w:val="en-US" w:eastAsia="zh-CN"/>
        </w:rPr>
      </w:pPr>
      <w:r>
        <w:rPr>
          <w:rFonts w:hint="eastAsia"/>
          <w:szCs w:val="22"/>
          <w:lang w:val="en-US" w:eastAsia="zh-CN"/>
        </w:rPr>
        <w:t>——持续改进的机会；</w:t>
      </w:r>
    </w:p>
    <w:p>
      <w:pPr>
        <w:pStyle w:val="21"/>
        <w:numPr>
          <w:ilvl w:val="0"/>
          <w:numId w:val="0"/>
        </w:numPr>
        <w:ind w:left="420" w:leftChars="0"/>
        <w:rPr>
          <w:rFonts w:hint="eastAsia"/>
          <w:szCs w:val="22"/>
          <w:lang w:val="en-US" w:eastAsia="zh-CN"/>
        </w:rPr>
      </w:pPr>
      <w:r>
        <w:rPr>
          <w:rFonts w:hint="eastAsia"/>
          <w:szCs w:val="22"/>
          <w:lang w:val="en-US" w:eastAsia="zh-CN"/>
        </w:rPr>
        <w:t>——任何对安全与风险综合管理体系变更的需求；</w:t>
      </w:r>
    </w:p>
    <w:p>
      <w:pPr>
        <w:pStyle w:val="21"/>
        <w:numPr>
          <w:ilvl w:val="0"/>
          <w:numId w:val="0"/>
        </w:numPr>
        <w:ind w:left="420" w:leftChars="0"/>
        <w:rPr>
          <w:rFonts w:hint="eastAsia"/>
          <w:szCs w:val="22"/>
          <w:lang w:val="en-US" w:eastAsia="zh-CN"/>
        </w:rPr>
      </w:pPr>
      <w:r>
        <w:rPr>
          <w:rFonts w:hint="eastAsia"/>
          <w:szCs w:val="22"/>
          <w:lang w:val="en-US" w:eastAsia="zh-CN"/>
        </w:rPr>
        <w:t>——所需资源；</w:t>
      </w:r>
    </w:p>
    <w:p>
      <w:pPr>
        <w:pStyle w:val="21"/>
        <w:numPr>
          <w:ilvl w:val="0"/>
          <w:numId w:val="0"/>
        </w:numPr>
        <w:ind w:left="420" w:leftChars="0"/>
        <w:rPr>
          <w:rFonts w:hint="eastAsia"/>
          <w:szCs w:val="22"/>
          <w:lang w:val="en-US" w:eastAsia="zh-CN"/>
        </w:rPr>
      </w:pPr>
      <w:r>
        <w:rPr>
          <w:rFonts w:hint="eastAsia"/>
          <w:szCs w:val="22"/>
          <w:lang w:val="en-US" w:eastAsia="zh-CN"/>
        </w:rPr>
        <w:t>——措施（若需要）；</w:t>
      </w:r>
    </w:p>
    <w:p>
      <w:pPr>
        <w:pStyle w:val="21"/>
        <w:numPr>
          <w:ilvl w:val="0"/>
          <w:numId w:val="0"/>
        </w:numPr>
        <w:ind w:left="420" w:leftChars="0"/>
        <w:rPr>
          <w:rFonts w:hint="eastAsia"/>
          <w:szCs w:val="22"/>
          <w:lang w:val="en-US" w:eastAsia="zh-CN"/>
        </w:rPr>
      </w:pPr>
      <w:r>
        <w:rPr>
          <w:rFonts w:hint="eastAsia"/>
          <w:szCs w:val="22"/>
          <w:lang w:val="en-US" w:eastAsia="zh-CN"/>
        </w:rPr>
        <w:t>——改进安全与风险综合管理体系与其他业务过程融合的机会；</w:t>
      </w:r>
    </w:p>
    <w:p>
      <w:pPr>
        <w:pStyle w:val="21"/>
        <w:numPr>
          <w:ilvl w:val="0"/>
          <w:numId w:val="0"/>
        </w:numPr>
        <w:ind w:left="420" w:leftChars="0"/>
        <w:rPr>
          <w:rFonts w:hint="eastAsia"/>
          <w:szCs w:val="22"/>
          <w:lang w:val="en-US" w:eastAsia="zh-CN"/>
        </w:rPr>
      </w:pPr>
      <w:r>
        <w:rPr>
          <w:rFonts w:hint="eastAsia"/>
          <w:szCs w:val="22"/>
          <w:lang w:val="en-US" w:eastAsia="zh-CN"/>
        </w:rPr>
        <w:t>——对企业战略方向的任何影响。</w:t>
      </w:r>
    </w:p>
    <w:p>
      <w:pPr>
        <w:pStyle w:val="21"/>
        <w:numPr>
          <w:ilvl w:val="0"/>
          <w:numId w:val="0"/>
        </w:numPr>
        <w:ind w:left="420" w:leftChars="0"/>
        <w:rPr>
          <w:rFonts w:hint="eastAsia"/>
          <w:szCs w:val="22"/>
          <w:lang w:val="en-US" w:eastAsia="zh-CN"/>
        </w:rPr>
      </w:pPr>
      <w:r>
        <w:rPr>
          <w:rFonts w:hint="eastAsia"/>
          <w:szCs w:val="22"/>
          <w:lang w:val="en-US" w:eastAsia="zh-CN"/>
        </w:rPr>
        <w:t>最高管理者应就相关的管理评审输出与工作人员及其代表（若有）进行沟通。</w:t>
      </w:r>
    </w:p>
    <w:p>
      <w:pPr>
        <w:pStyle w:val="21"/>
        <w:numPr>
          <w:ilvl w:val="0"/>
          <w:numId w:val="0"/>
        </w:numPr>
        <w:ind w:left="420" w:leftChars="0"/>
        <w:rPr>
          <w:rFonts w:hint="default"/>
          <w:szCs w:val="22"/>
          <w:lang w:val="en-US" w:eastAsia="zh-CN"/>
        </w:rPr>
      </w:pPr>
      <w:r>
        <w:rPr>
          <w:rFonts w:hint="eastAsia"/>
          <w:szCs w:val="22"/>
          <w:lang w:val="en-US" w:eastAsia="zh-CN"/>
        </w:rPr>
        <w:t>企业应保留成文信息，以作为管理评审结果的证据。</w:t>
      </w:r>
    </w:p>
    <w:p>
      <w:pPr>
        <w:pStyle w:val="94"/>
        <w:rPr>
          <w:rFonts w:hint="default"/>
          <w:szCs w:val="22"/>
          <w:lang w:val="en-US" w:eastAsia="zh-CN"/>
        </w:rPr>
      </w:pPr>
      <w:bookmarkStart w:id="322" w:name="_Toc8094"/>
      <w:bookmarkStart w:id="323" w:name="_Toc30473"/>
      <w:bookmarkStart w:id="324" w:name="_Toc29301"/>
      <w:r>
        <w:rPr>
          <w:rFonts w:hint="eastAsia"/>
          <w:szCs w:val="22"/>
          <w:lang w:val="en-US" w:eastAsia="zh-CN"/>
        </w:rPr>
        <w:t>改进</w:t>
      </w:r>
      <w:bookmarkEnd w:id="322"/>
      <w:bookmarkEnd w:id="323"/>
      <w:bookmarkEnd w:id="324"/>
    </w:p>
    <w:p>
      <w:pPr>
        <w:pStyle w:val="51"/>
        <w:bidi w:val="0"/>
        <w:ind w:left="0" w:leftChars="0" w:firstLine="0" w:firstLineChars="0"/>
        <w:rPr>
          <w:rFonts w:hint="default"/>
          <w:lang w:val="en-US" w:eastAsia="zh-CN"/>
        </w:rPr>
      </w:pPr>
      <w:bookmarkStart w:id="325" w:name="_Toc14319"/>
      <w:bookmarkStart w:id="326" w:name="_Toc8382"/>
      <w:bookmarkStart w:id="327" w:name="_Toc22613"/>
      <w:r>
        <w:rPr>
          <w:rFonts w:hint="default"/>
          <w:lang w:val="en-US" w:eastAsia="zh-CN"/>
        </w:rPr>
        <w:t>事故事件管理</w:t>
      </w:r>
      <w:bookmarkEnd w:id="325"/>
      <w:bookmarkEnd w:id="326"/>
      <w:bookmarkEnd w:id="327"/>
    </w:p>
    <w:p>
      <w:pPr>
        <w:pStyle w:val="51"/>
        <w:numPr>
          <w:ilvl w:val="1"/>
          <w:numId w:val="0"/>
        </w:numPr>
        <w:bidi w:val="0"/>
        <w:ind w:leftChars="0"/>
        <w:rPr>
          <w:rFonts w:hint="eastAsia"/>
          <w:lang w:val="en-US" w:eastAsia="zh-CN"/>
        </w:rPr>
      </w:pPr>
      <w:bookmarkStart w:id="328" w:name="_Toc29007"/>
      <w:bookmarkStart w:id="329" w:name="_Toc22952"/>
      <w:bookmarkStart w:id="330" w:name="_Toc18888"/>
      <w:r>
        <w:rPr>
          <w:rFonts w:hint="eastAsia"/>
          <w:lang w:val="en-US" w:eastAsia="zh-CN"/>
        </w:rPr>
        <w:t>14.1.1报告</w:t>
      </w:r>
      <w:bookmarkEnd w:id="328"/>
      <w:bookmarkEnd w:id="329"/>
      <w:bookmarkEnd w:id="330"/>
    </w:p>
    <w:p>
      <w:pPr>
        <w:pStyle w:val="21"/>
        <w:rPr>
          <w:rFonts w:hint="default"/>
          <w:lang w:val="en-US" w:eastAsia="zh-CN"/>
        </w:rPr>
      </w:pPr>
      <w:r>
        <w:rPr>
          <w:rFonts w:hint="eastAsia"/>
          <w:lang w:val="en-US" w:eastAsia="zh-CN"/>
        </w:rPr>
        <w:t>及时报告事故事件可有助于消除危险源和尽快降低相关安全风险。</w:t>
      </w:r>
    </w:p>
    <w:p>
      <w:pPr>
        <w:pStyle w:val="21"/>
        <w:rPr>
          <w:rFonts w:hint="eastAsia"/>
          <w:lang w:val="en-US" w:eastAsia="zh-CN"/>
        </w:rPr>
      </w:pPr>
      <w:r>
        <w:rPr>
          <w:rFonts w:hint="eastAsia"/>
          <w:lang w:val="en-US" w:eastAsia="zh-CN"/>
        </w:rPr>
        <w:t>企业应：</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明确事故事件报告的程序；</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明确事故事件报告的相关制度，如事故事件登记、报告表格的标准格式和内容要求；</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按策划的时间间隔对报告的事故事件登记注册和审查，以确保所有事故事件均得到有效调查和处理；</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系统管理与事故事件相关的成文信息，明确成文信息的保存方式及保存时间要求；</w:t>
      </w:r>
    </w:p>
    <w:p>
      <w:pPr>
        <w:pStyle w:val="21"/>
        <w:numPr>
          <w:ilvl w:val="0"/>
          <w:numId w:val="77"/>
        </w:numPr>
        <w:ind w:left="420" w:leftChars="0" w:firstLine="0" w:firstLineChars="0"/>
        <w:rPr>
          <w:rFonts w:hint="default"/>
          <w:szCs w:val="22"/>
          <w:lang w:val="en-US" w:eastAsia="zh-CN"/>
        </w:rPr>
      </w:pPr>
      <w:r>
        <w:rPr>
          <w:rFonts w:hint="eastAsia"/>
          <w:szCs w:val="22"/>
          <w:lang w:val="en-US" w:eastAsia="zh-CN"/>
        </w:rPr>
        <w:t>对员工进行事故事件报告程序的培训，使其具备报告事故事件的意识和能力。</w:t>
      </w:r>
    </w:p>
    <w:p>
      <w:pPr>
        <w:pStyle w:val="21"/>
        <w:numPr>
          <w:ilvl w:val="0"/>
          <w:numId w:val="0"/>
        </w:numPr>
        <w:ind w:left="420" w:leftChars="0"/>
        <w:rPr>
          <w:rFonts w:hint="default"/>
          <w:szCs w:val="22"/>
          <w:lang w:val="en-US" w:eastAsia="zh-CN"/>
        </w:rPr>
      </w:pPr>
      <w:r>
        <w:rPr>
          <w:rFonts w:hint="eastAsia"/>
          <w:szCs w:val="22"/>
          <w:lang w:val="en-US" w:eastAsia="zh-CN"/>
        </w:rPr>
        <w:t>企业应保留成文信息，以作为事故事件报告结果的证据。</w:t>
      </w:r>
    </w:p>
    <w:p>
      <w:pPr>
        <w:pStyle w:val="51"/>
        <w:numPr>
          <w:ilvl w:val="1"/>
          <w:numId w:val="0"/>
        </w:numPr>
        <w:bidi w:val="0"/>
        <w:ind w:leftChars="0"/>
        <w:rPr>
          <w:rFonts w:hint="eastAsia"/>
          <w:lang w:val="en-US" w:eastAsia="zh-CN"/>
        </w:rPr>
      </w:pPr>
      <w:bookmarkStart w:id="331" w:name="_Toc12125"/>
      <w:bookmarkStart w:id="332" w:name="_Toc29176"/>
      <w:bookmarkStart w:id="333" w:name="_Toc30136"/>
      <w:r>
        <w:rPr>
          <w:rFonts w:hint="eastAsia"/>
          <w:lang w:val="en-US" w:eastAsia="zh-CN"/>
        </w:rPr>
        <w:t>14.1.2调查</w:t>
      </w:r>
      <w:bookmarkEnd w:id="331"/>
      <w:bookmarkEnd w:id="332"/>
      <w:bookmarkEnd w:id="333"/>
    </w:p>
    <w:p>
      <w:pPr>
        <w:pStyle w:val="21"/>
        <w:rPr>
          <w:rFonts w:hint="default"/>
          <w:lang w:val="en-US" w:eastAsia="zh-CN"/>
        </w:rPr>
      </w:pPr>
      <w:r>
        <w:rPr>
          <w:rFonts w:hint="eastAsia"/>
          <w:lang w:val="en-US" w:eastAsia="zh-CN"/>
        </w:rPr>
        <w:t>及时调查事故事件可有助于消除危险源和尽快降低相关安全风险。</w:t>
      </w:r>
    </w:p>
    <w:p>
      <w:pPr>
        <w:pStyle w:val="21"/>
        <w:rPr>
          <w:rFonts w:hint="eastAsia"/>
          <w:lang w:val="en-US" w:eastAsia="zh-CN"/>
        </w:rPr>
      </w:pPr>
      <w:r>
        <w:rPr>
          <w:rFonts w:hint="eastAsia"/>
          <w:lang w:val="en-US" w:eastAsia="zh-CN"/>
        </w:rPr>
        <w:t>企业应：</w:t>
      </w:r>
    </w:p>
    <w:p>
      <w:pPr>
        <w:pStyle w:val="21"/>
        <w:numPr>
          <w:ilvl w:val="0"/>
          <w:numId w:val="78"/>
        </w:numPr>
        <w:ind w:left="420" w:leftChars="0" w:firstLine="0" w:firstLineChars="0"/>
        <w:rPr>
          <w:rFonts w:hint="eastAsia"/>
          <w:szCs w:val="22"/>
          <w:lang w:val="en-US" w:eastAsia="zh-CN"/>
        </w:rPr>
      </w:pPr>
      <w:r>
        <w:rPr>
          <w:rFonts w:hint="eastAsia"/>
          <w:szCs w:val="22"/>
          <w:lang w:val="en-US" w:eastAsia="zh-CN"/>
        </w:rPr>
        <w:t>明确事故事件调查的程序；</w:t>
      </w:r>
    </w:p>
    <w:p>
      <w:pPr>
        <w:pStyle w:val="21"/>
        <w:numPr>
          <w:ilvl w:val="0"/>
          <w:numId w:val="78"/>
        </w:numPr>
        <w:ind w:left="420" w:leftChars="0" w:firstLine="0" w:firstLineChars="0"/>
        <w:rPr>
          <w:rFonts w:hint="eastAsia"/>
          <w:szCs w:val="22"/>
          <w:lang w:val="en-US" w:eastAsia="zh-CN"/>
        </w:rPr>
      </w:pPr>
      <w:r>
        <w:rPr>
          <w:rFonts w:hint="eastAsia"/>
          <w:szCs w:val="22"/>
          <w:lang w:val="en-US" w:eastAsia="zh-CN"/>
        </w:rPr>
        <w:t>明确事故事件调查的相关制度；</w:t>
      </w:r>
    </w:p>
    <w:p>
      <w:pPr>
        <w:pStyle w:val="21"/>
        <w:numPr>
          <w:ilvl w:val="0"/>
          <w:numId w:val="78"/>
        </w:numPr>
        <w:ind w:left="420" w:leftChars="0" w:firstLine="0" w:firstLineChars="0"/>
        <w:rPr>
          <w:rFonts w:hint="eastAsia"/>
          <w:szCs w:val="22"/>
          <w:lang w:val="en-US" w:eastAsia="zh-CN"/>
        </w:rPr>
      </w:pPr>
      <w:r>
        <w:rPr>
          <w:rFonts w:hint="eastAsia"/>
          <w:szCs w:val="22"/>
          <w:lang w:val="en-US" w:eastAsia="zh-CN"/>
        </w:rPr>
        <w:t>明确调查人员及专家的资质和培训要求；</w:t>
      </w:r>
    </w:p>
    <w:p>
      <w:pPr>
        <w:pStyle w:val="21"/>
        <w:numPr>
          <w:ilvl w:val="0"/>
          <w:numId w:val="0"/>
        </w:numPr>
        <w:ind w:left="420" w:leftChars="0"/>
        <w:rPr>
          <w:rFonts w:hint="default"/>
          <w:szCs w:val="22"/>
          <w:lang w:val="en-US" w:eastAsia="zh-CN"/>
        </w:rPr>
      </w:pPr>
      <w:r>
        <w:rPr>
          <w:rFonts w:hint="eastAsia"/>
          <w:szCs w:val="22"/>
          <w:lang w:val="en-US" w:eastAsia="zh-CN"/>
        </w:rPr>
        <w:t>企业应就此成文信息与相关工作人员及其代表（若有）和其他有关的相关方进行沟通。</w:t>
      </w:r>
    </w:p>
    <w:p>
      <w:pPr>
        <w:pStyle w:val="21"/>
        <w:numPr>
          <w:ilvl w:val="0"/>
          <w:numId w:val="0"/>
        </w:numPr>
        <w:ind w:left="420" w:leftChars="0"/>
        <w:rPr>
          <w:rFonts w:hint="default"/>
          <w:szCs w:val="22"/>
          <w:lang w:val="en-US" w:eastAsia="zh-CN"/>
        </w:rPr>
      </w:pPr>
      <w:r>
        <w:rPr>
          <w:rFonts w:hint="eastAsia"/>
          <w:szCs w:val="22"/>
          <w:lang w:val="en-US" w:eastAsia="zh-CN"/>
        </w:rPr>
        <w:t>企业应保留成文信息，以作为事故事件报告结果的证据。</w:t>
      </w:r>
    </w:p>
    <w:p>
      <w:pPr>
        <w:pStyle w:val="51"/>
        <w:numPr>
          <w:ilvl w:val="1"/>
          <w:numId w:val="0"/>
        </w:numPr>
        <w:bidi w:val="0"/>
        <w:ind w:leftChars="0"/>
        <w:rPr>
          <w:rFonts w:hint="default"/>
          <w:lang w:val="en-US" w:eastAsia="zh-CN"/>
        </w:rPr>
      </w:pPr>
      <w:bookmarkStart w:id="334" w:name="_Toc19215"/>
      <w:bookmarkStart w:id="335" w:name="_Toc8961"/>
      <w:bookmarkStart w:id="336" w:name="_Toc6668"/>
      <w:r>
        <w:rPr>
          <w:rFonts w:hint="eastAsia"/>
          <w:lang w:val="en-US" w:eastAsia="zh-CN"/>
        </w:rPr>
        <w:t>14.1.3统计与分析</w:t>
      </w:r>
      <w:bookmarkEnd w:id="334"/>
      <w:bookmarkEnd w:id="335"/>
      <w:bookmarkEnd w:id="336"/>
    </w:p>
    <w:p>
      <w:pPr>
        <w:pStyle w:val="21"/>
        <w:rPr>
          <w:rFonts w:hint="eastAsia"/>
          <w:lang w:val="en-US" w:eastAsia="zh-CN"/>
        </w:rPr>
      </w:pPr>
      <w:r>
        <w:rPr>
          <w:rFonts w:hint="eastAsia"/>
          <w:lang w:val="en-US" w:eastAsia="zh-CN"/>
        </w:rPr>
        <w:t>企业应确保安全生产事故事件得到及时报告、调查和统计分析，以确定趋势，深挖风险管控失效原因并采取措施，防止重复发生。</w:t>
      </w:r>
    </w:p>
    <w:p>
      <w:pPr>
        <w:pStyle w:val="21"/>
        <w:rPr>
          <w:rFonts w:hint="eastAsia"/>
          <w:lang w:val="en-US" w:eastAsia="zh-CN"/>
        </w:rPr>
      </w:pPr>
      <w:r>
        <w:rPr>
          <w:rFonts w:hint="eastAsia"/>
          <w:lang w:val="en-US" w:eastAsia="zh-CN"/>
        </w:rPr>
        <w:t>企业应对事故事件的指标进行统计、分析，并将分析结果进行可视化展示。</w:t>
      </w:r>
    </w:p>
    <w:p>
      <w:pPr>
        <w:pStyle w:val="21"/>
        <w:rPr>
          <w:rFonts w:hint="default"/>
          <w:lang w:val="en-US" w:eastAsia="zh-CN"/>
        </w:rPr>
      </w:pPr>
      <w:r>
        <w:rPr>
          <w:rFonts w:hint="eastAsia"/>
          <w:lang w:val="en-US" w:eastAsia="zh-CN"/>
        </w:rPr>
        <w:t>企业应将统计分析结果应用于风险分级管控、隐患排查治理、绩效评估、管理评审和体系改进等，并向相关组织机构汇报。</w:t>
      </w:r>
    </w:p>
    <w:p>
      <w:pPr>
        <w:pStyle w:val="51"/>
        <w:bidi w:val="0"/>
        <w:ind w:left="0" w:leftChars="0" w:firstLine="0" w:firstLineChars="0"/>
        <w:rPr>
          <w:rFonts w:hint="default"/>
          <w:lang w:val="en-US" w:eastAsia="zh-CN"/>
        </w:rPr>
      </w:pPr>
      <w:bookmarkStart w:id="337" w:name="_Toc6712"/>
      <w:bookmarkStart w:id="338" w:name="_Toc9306"/>
      <w:bookmarkStart w:id="339" w:name="_Toc7348"/>
      <w:r>
        <w:rPr>
          <w:rFonts w:hint="default"/>
          <w:lang w:val="en-US" w:eastAsia="zh-CN"/>
        </w:rPr>
        <w:t>不符合控制</w:t>
      </w:r>
      <w:bookmarkEnd w:id="337"/>
      <w:bookmarkEnd w:id="338"/>
      <w:bookmarkEnd w:id="339"/>
    </w:p>
    <w:p>
      <w:pPr>
        <w:pStyle w:val="21"/>
        <w:rPr>
          <w:rFonts w:hint="eastAsia"/>
          <w:lang w:val="en-US" w:eastAsia="zh-CN"/>
        </w:rPr>
      </w:pPr>
      <w:r>
        <w:rPr>
          <w:rFonts w:hint="eastAsia"/>
          <w:lang w:val="en-US" w:eastAsia="zh-CN"/>
        </w:rPr>
        <w:t>发生不符合时，企业应：</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对不符合做出响应，适用时：</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1）采取措施控制并纠正不符合；</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2）处理后果，包括减轻不利的环境影响；</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通过以下活动评价消除不符合原因的措施需求，以防止不符合再次发生或在其他地方发生：</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1）评审不符合；</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2）确定不符合的原因；</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3）确定是否存在或是否可能发生类似的不符合；</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实施任何所需的措施；</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评审所采取的任何纠正措施的有效性；</w:t>
      </w:r>
    </w:p>
    <w:p>
      <w:pPr>
        <w:pStyle w:val="21"/>
        <w:numPr>
          <w:ilvl w:val="0"/>
          <w:numId w:val="79"/>
        </w:numPr>
        <w:ind w:left="420" w:leftChars="0" w:firstLine="0" w:firstLineChars="0"/>
        <w:rPr>
          <w:rFonts w:hint="default"/>
          <w:szCs w:val="22"/>
          <w:lang w:val="en-US" w:eastAsia="zh-CN"/>
        </w:rPr>
      </w:pPr>
      <w:r>
        <w:rPr>
          <w:rFonts w:hint="eastAsia"/>
          <w:szCs w:val="22"/>
          <w:lang w:val="en-US" w:eastAsia="zh-CN"/>
        </w:rPr>
        <w:t>必要时，对安全与风险综合管理体系进行变更。</w:t>
      </w:r>
    </w:p>
    <w:p>
      <w:pPr>
        <w:pStyle w:val="51"/>
        <w:bidi w:val="0"/>
        <w:ind w:left="0" w:leftChars="0" w:firstLine="0" w:firstLineChars="0"/>
        <w:rPr>
          <w:rFonts w:hint="default"/>
          <w:lang w:val="en-US" w:eastAsia="zh-CN"/>
        </w:rPr>
      </w:pPr>
      <w:bookmarkStart w:id="340" w:name="_Toc28464"/>
      <w:bookmarkStart w:id="341" w:name="_Toc15070"/>
      <w:bookmarkStart w:id="342" w:name="_Toc31301"/>
      <w:r>
        <w:rPr>
          <w:rFonts w:hint="default"/>
          <w:lang w:val="en-US" w:eastAsia="zh-CN"/>
        </w:rPr>
        <w:t>纠正措施</w:t>
      </w:r>
      <w:bookmarkEnd w:id="340"/>
      <w:bookmarkEnd w:id="341"/>
      <w:bookmarkEnd w:id="342"/>
    </w:p>
    <w:p>
      <w:pPr>
        <w:pStyle w:val="21"/>
        <w:rPr>
          <w:rFonts w:hint="eastAsia"/>
          <w:lang w:val="en-US" w:eastAsia="zh-CN"/>
        </w:rPr>
      </w:pPr>
      <w:r>
        <w:rPr>
          <w:rFonts w:hint="eastAsia"/>
          <w:lang w:val="en-US" w:eastAsia="zh-CN"/>
        </w:rPr>
        <w:t>纠正措施应与所发生的不符合造成影响（包括环境影响）的重要程度相适应。</w:t>
      </w:r>
    </w:p>
    <w:p>
      <w:pPr>
        <w:pStyle w:val="21"/>
        <w:rPr>
          <w:rFonts w:hint="eastAsia"/>
          <w:lang w:val="en-US" w:eastAsia="zh-CN"/>
        </w:rPr>
      </w:pPr>
      <w:r>
        <w:rPr>
          <w:rFonts w:hint="eastAsia"/>
          <w:lang w:val="en-US" w:eastAsia="zh-CN"/>
        </w:rPr>
        <w:t>企业应保留成文信息作为下列事项的证据：</w:t>
      </w:r>
    </w:p>
    <w:p>
      <w:pPr>
        <w:pStyle w:val="21"/>
        <w:numPr>
          <w:ilvl w:val="0"/>
          <w:numId w:val="80"/>
        </w:numPr>
        <w:ind w:left="420" w:leftChars="0" w:firstLine="0" w:firstLineChars="0"/>
        <w:rPr>
          <w:rFonts w:hint="eastAsia"/>
          <w:szCs w:val="22"/>
          <w:lang w:val="en-US" w:eastAsia="zh-CN"/>
        </w:rPr>
      </w:pPr>
      <w:r>
        <w:rPr>
          <w:rFonts w:hint="eastAsia"/>
          <w:szCs w:val="22"/>
          <w:lang w:val="en-US" w:eastAsia="zh-CN"/>
        </w:rPr>
        <w:t>不符合的性质和所采取的任何后续措施；</w:t>
      </w:r>
    </w:p>
    <w:p>
      <w:pPr>
        <w:pStyle w:val="21"/>
        <w:numPr>
          <w:ilvl w:val="0"/>
          <w:numId w:val="80"/>
        </w:numPr>
        <w:ind w:left="420" w:leftChars="0" w:firstLine="0" w:firstLineChars="0"/>
        <w:rPr>
          <w:rFonts w:hint="default"/>
          <w:szCs w:val="22"/>
          <w:lang w:val="en-US" w:eastAsia="zh-CN"/>
        </w:rPr>
      </w:pPr>
      <w:r>
        <w:rPr>
          <w:rFonts w:hint="eastAsia"/>
          <w:szCs w:val="22"/>
          <w:lang w:val="en-US" w:eastAsia="zh-CN"/>
        </w:rPr>
        <w:t>任何纠正措施的结果，包括其有效性。</w:t>
      </w:r>
    </w:p>
    <w:p>
      <w:pPr>
        <w:pStyle w:val="21"/>
        <w:numPr>
          <w:ilvl w:val="0"/>
          <w:numId w:val="0"/>
        </w:numPr>
        <w:ind w:left="420" w:leftChars="0"/>
        <w:rPr>
          <w:rFonts w:hint="default"/>
          <w:szCs w:val="22"/>
          <w:lang w:val="en-US" w:eastAsia="zh-CN"/>
        </w:rPr>
      </w:pPr>
      <w:r>
        <w:rPr>
          <w:rFonts w:hint="eastAsia"/>
          <w:szCs w:val="22"/>
          <w:lang w:val="en-US" w:eastAsia="zh-CN"/>
        </w:rPr>
        <w:t>企业应就此成文信息与相关工作人员及其代表（若有）和其他有关的相关方进行沟通。</w:t>
      </w:r>
    </w:p>
    <w:p>
      <w:pPr>
        <w:pStyle w:val="51"/>
        <w:bidi w:val="0"/>
        <w:ind w:left="0" w:leftChars="0" w:firstLine="0" w:firstLineChars="0"/>
        <w:rPr>
          <w:rFonts w:hint="default"/>
          <w:lang w:val="en-US" w:eastAsia="zh-CN"/>
        </w:rPr>
      </w:pPr>
      <w:bookmarkStart w:id="343" w:name="_Toc31675"/>
      <w:bookmarkStart w:id="344" w:name="_Toc21416"/>
      <w:bookmarkStart w:id="345" w:name="_Toc14077"/>
      <w:r>
        <w:rPr>
          <w:rFonts w:hint="default"/>
          <w:lang w:val="en-US" w:eastAsia="zh-CN"/>
        </w:rPr>
        <w:t>持续改进</w:t>
      </w:r>
      <w:bookmarkEnd w:id="343"/>
      <w:bookmarkEnd w:id="344"/>
      <w:bookmarkEnd w:id="345"/>
    </w:p>
    <w:p>
      <w:pPr>
        <w:pStyle w:val="21"/>
        <w:rPr>
          <w:rFonts w:hint="eastAsia"/>
          <w:lang w:val="en-US" w:eastAsia="zh-CN"/>
        </w:rPr>
      </w:pPr>
      <w:r>
        <w:rPr>
          <w:rFonts w:hint="eastAsia"/>
          <w:lang w:val="en-US" w:eastAsia="zh-CN"/>
        </w:rPr>
        <w:t>企业应持续改进安全与风险综合管理体系的适宜性、充分性与有效性，以提升安全管理绩效。</w:t>
      </w:r>
    </w:p>
    <w:p>
      <w:pPr>
        <w:pStyle w:val="21"/>
        <w:rPr>
          <w:rFonts w:hint="eastAsia"/>
          <w:lang w:val="en-US" w:eastAsia="zh-CN"/>
        </w:rPr>
      </w:pPr>
      <w:r>
        <w:rPr>
          <w:rFonts w:hint="eastAsia"/>
          <w:lang w:val="en-US" w:eastAsia="zh-CN"/>
        </w:rPr>
        <w:t>企业可通过安全管理创新、卓越绩效模式等途径实施安全管理改进和价值创造并提升安全管理水平。</w:t>
      </w: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94"/>
        <w:numPr>
          <w:ilvl w:val="0"/>
          <w:numId w:val="0"/>
        </w:numPr>
        <w:ind w:leftChars="0"/>
        <w:rPr>
          <w:rFonts w:hint="eastAsia"/>
          <w:szCs w:val="22"/>
          <w:lang w:val="en-US" w:eastAsia="zh-CN"/>
        </w:rPr>
      </w:pPr>
      <w:bookmarkStart w:id="346" w:name="_Toc4963"/>
      <w:bookmarkStart w:id="347" w:name="_Toc26586"/>
      <w:r>
        <w:rPr>
          <w:rFonts w:hint="eastAsia"/>
          <w:szCs w:val="22"/>
          <w:lang w:val="en-US" w:eastAsia="zh-CN"/>
        </w:rPr>
        <w:t>附录A 参考文献</w:t>
      </w:r>
      <w:bookmarkEnd w:id="346"/>
      <w:bookmarkEnd w:id="347"/>
    </w:p>
    <w:p>
      <w:pPr>
        <w:pStyle w:val="21"/>
        <w:jc w:val="left"/>
        <w:rPr>
          <w:rFonts w:hint="default"/>
          <w:lang w:val="en-US" w:eastAsia="zh-CN"/>
        </w:rPr>
      </w:pPr>
      <w:r>
        <w:rPr>
          <w:rFonts w:hint="eastAsia"/>
          <w:lang w:val="en-US" w:eastAsia="zh-CN"/>
        </w:rPr>
        <w:t>[1] GB/T 19000-2016 质量管理体系 基础和术语</w:t>
      </w:r>
    </w:p>
    <w:p>
      <w:pPr>
        <w:pStyle w:val="21"/>
        <w:jc w:val="left"/>
        <w:rPr>
          <w:rFonts w:hint="default"/>
          <w:lang w:val="en-US" w:eastAsia="zh-CN"/>
        </w:rPr>
      </w:pPr>
      <w:r>
        <w:rPr>
          <w:rFonts w:hint="eastAsia"/>
          <w:lang w:val="en-US" w:eastAsia="zh-CN"/>
        </w:rPr>
        <w:t>[2] GB/T 14001-2016 环境管理体系 要求及使用指南</w:t>
      </w:r>
    </w:p>
    <w:p>
      <w:pPr>
        <w:pStyle w:val="21"/>
        <w:jc w:val="left"/>
        <w:rPr>
          <w:rFonts w:hint="eastAsia"/>
          <w:lang w:val="en-US" w:eastAsia="zh-CN"/>
        </w:rPr>
      </w:pPr>
      <w:r>
        <w:rPr>
          <w:rFonts w:hint="eastAsia"/>
          <w:lang w:val="en-US" w:eastAsia="zh-CN"/>
        </w:rPr>
        <w:t>[3] GB/T 45001-2020 职业健康安全管理体系 要求及使用指南</w:t>
      </w:r>
    </w:p>
    <w:p>
      <w:pPr>
        <w:pStyle w:val="21"/>
        <w:jc w:val="left"/>
        <w:rPr>
          <w:rFonts w:hint="default"/>
          <w:lang w:val="en-US" w:eastAsia="zh-CN"/>
        </w:rPr>
      </w:pPr>
      <w:r>
        <w:rPr>
          <w:rFonts w:hint="eastAsia"/>
          <w:lang w:val="en-US" w:eastAsia="zh-CN"/>
        </w:rPr>
        <w:t>[4] GB/T 24353-2009 风险管理 原则与实施指南</w:t>
      </w:r>
    </w:p>
    <w:p>
      <w:pPr>
        <w:pStyle w:val="21"/>
        <w:jc w:val="left"/>
        <w:rPr>
          <w:rFonts w:hint="eastAsia"/>
          <w:lang w:val="en-US" w:eastAsia="zh-CN"/>
        </w:rPr>
      </w:pPr>
      <w:r>
        <w:rPr>
          <w:rFonts w:hint="eastAsia"/>
          <w:lang w:val="en-US" w:eastAsia="zh-CN"/>
        </w:rPr>
        <w:t>[5] GB/T 23694-2013 风险管理 术语</w:t>
      </w:r>
    </w:p>
    <w:p>
      <w:pPr>
        <w:pStyle w:val="21"/>
        <w:jc w:val="left"/>
        <w:rPr>
          <w:rFonts w:hint="default"/>
          <w:lang w:val="en-US" w:eastAsia="zh-CN"/>
        </w:rPr>
      </w:pPr>
      <w:r>
        <w:rPr>
          <w:rFonts w:hint="eastAsia"/>
          <w:lang w:val="en-US" w:eastAsia="zh-CN"/>
        </w:rPr>
        <w:t>[6] GB/T 50430-2017 工程建设施工企业质量管理规范</w:t>
      </w:r>
    </w:p>
    <w:p>
      <w:pPr>
        <w:pStyle w:val="21"/>
        <w:jc w:val="left"/>
        <w:rPr>
          <w:rFonts w:hint="eastAsia"/>
          <w:lang w:val="en-US" w:eastAsia="zh-CN"/>
        </w:rPr>
      </w:pPr>
      <w:r>
        <w:rPr>
          <w:rFonts w:hint="eastAsia"/>
          <w:lang w:val="en-US" w:eastAsia="zh-CN"/>
        </w:rPr>
        <w:t>[7] GB/T 33000-2016 企业安全生产标准化基本规范</w:t>
      </w:r>
    </w:p>
    <w:p>
      <w:pPr>
        <w:pStyle w:val="21"/>
        <w:jc w:val="left"/>
        <w:rPr>
          <w:rFonts w:hint="default"/>
          <w:lang w:val="en-US" w:eastAsia="zh-CN"/>
        </w:rPr>
      </w:pPr>
      <w:r>
        <w:rPr>
          <w:rFonts w:hint="eastAsia"/>
          <w:lang w:val="en-US" w:eastAsia="zh-CN"/>
        </w:rPr>
        <w:t>[8] ISO 37301：2021 合规管理体系 要求及使用指南</w:t>
      </w:r>
    </w:p>
    <w:p>
      <w:pPr>
        <w:pStyle w:val="21"/>
        <w:jc w:val="left"/>
        <w:rPr>
          <w:rFonts w:hint="eastAsia"/>
          <w:lang w:val="en-US" w:eastAsia="zh-CN"/>
        </w:rPr>
      </w:pPr>
      <w:r>
        <w:rPr>
          <w:rFonts w:hint="eastAsia"/>
          <w:lang w:val="en-US" w:eastAsia="zh-CN"/>
        </w:rPr>
        <w:t>[9] AQ/T 9004-2019 企业安全文化建设导则</w:t>
      </w:r>
    </w:p>
    <w:p>
      <w:pPr>
        <w:pStyle w:val="21"/>
        <w:jc w:val="left"/>
        <w:rPr>
          <w:rFonts w:hint="default"/>
          <w:lang w:val="en-US" w:eastAsia="zh-CN"/>
        </w:rPr>
      </w:pPr>
      <w:r>
        <w:rPr>
          <w:rFonts w:hint="eastAsia"/>
          <w:lang w:val="en-US" w:eastAsia="zh-CN"/>
        </w:rPr>
        <w:t>[10] AQ/T 9011-2019 生产经营单位生产安全事故应急预案评估指南</w:t>
      </w:r>
    </w:p>
    <w:p>
      <w:pPr>
        <w:pStyle w:val="21"/>
        <w:jc w:val="left"/>
        <w:rPr>
          <w:rFonts w:hint="default"/>
          <w:lang w:val="en-US" w:eastAsia="zh-CN"/>
        </w:rPr>
      </w:pPr>
      <w:r>
        <w:rPr>
          <w:rFonts w:hint="eastAsia"/>
          <w:lang w:val="en-US" w:eastAsia="zh-CN"/>
        </w:rPr>
        <w:t>[11] DB37/T 2883-2016 生产安全事故隐患排查治理体系通则</w:t>
      </w:r>
    </w:p>
    <w:p>
      <w:pPr>
        <w:pStyle w:val="21"/>
        <w:jc w:val="left"/>
        <w:rPr>
          <w:rFonts w:hint="default"/>
          <w:lang w:val="en-US" w:eastAsia="zh-CN"/>
        </w:rPr>
      </w:pPr>
      <w:r>
        <w:rPr>
          <w:rFonts w:hint="eastAsia"/>
          <w:lang w:val="en-US" w:eastAsia="zh-CN"/>
        </w:rPr>
        <w:t>[12] 安全生产风险管理体系（2017年版）（中国南方电网有限责任公司 编著）</w:t>
      </w:r>
    </w:p>
    <w:p>
      <w:pPr>
        <w:pStyle w:val="21"/>
        <w:jc w:val="left"/>
        <w:rPr>
          <w:rFonts w:hint="default"/>
          <w:lang w:val="en-US" w:eastAsia="zh-CN"/>
        </w:rPr>
      </w:pPr>
    </w:p>
    <w:p>
      <w:pPr>
        <w:pStyle w:val="21"/>
        <w:jc w:val="left"/>
        <w:rPr>
          <w:rFonts w:hint="default"/>
          <w:lang w:val="en-US" w:eastAsia="zh-CN"/>
        </w:rPr>
      </w:pPr>
    </w:p>
    <w:sectPr>
      <w:headerReference r:id="rId7" w:type="default"/>
      <w:footerReference r:id="rId8" w:type="default"/>
      <w:pgSz w:w="11906" w:h="16838"/>
      <w:pgMar w:top="567" w:right="1134" w:bottom="1134" w:left="1418"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ËÎÌå">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Q/</w:t>
    </w:r>
    <w:r>
      <w:rPr>
        <w:rFonts w:hint="eastAsia"/>
      </w:rPr>
      <w:t>GDW HNGF</w:t>
    </w:r>
    <w:r>
      <w:t xml:space="preserve"> 2XXX—</w:t>
    </w:r>
    <w:r>
      <w:rPr>
        <w:rFonts w:hint="eastAsia"/>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001-2021</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001-2021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84544"/>
    <w:multiLevelType w:val="singleLevel"/>
    <w:tmpl w:val="8BF84544"/>
    <w:lvl w:ilvl="0" w:tentative="0">
      <w:start w:val="1"/>
      <w:numFmt w:val="lowerLetter"/>
      <w:suff w:val="nothing"/>
      <w:lvlText w:val="%1）"/>
      <w:lvlJc w:val="left"/>
    </w:lvl>
  </w:abstractNum>
  <w:abstractNum w:abstractNumId="1">
    <w:nsid w:val="92B2CC87"/>
    <w:multiLevelType w:val="singleLevel"/>
    <w:tmpl w:val="92B2CC87"/>
    <w:lvl w:ilvl="0" w:tentative="0">
      <w:start w:val="1"/>
      <w:numFmt w:val="lowerLetter"/>
      <w:suff w:val="nothing"/>
      <w:lvlText w:val="%1）"/>
      <w:lvlJc w:val="left"/>
    </w:lvl>
  </w:abstractNum>
  <w:abstractNum w:abstractNumId="2">
    <w:nsid w:val="938AFB91"/>
    <w:multiLevelType w:val="singleLevel"/>
    <w:tmpl w:val="938AFB91"/>
    <w:lvl w:ilvl="0" w:tentative="0">
      <w:start w:val="1"/>
      <w:numFmt w:val="lowerLetter"/>
      <w:suff w:val="nothing"/>
      <w:lvlText w:val="%1）"/>
      <w:lvlJc w:val="left"/>
    </w:lvl>
  </w:abstractNum>
  <w:abstractNum w:abstractNumId="3">
    <w:nsid w:val="A0A1A9C8"/>
    <w:multiLevelType w:val="singleLevel"/>
    <w:tmpl w:val="A0A1A9C8"/>
    <w:lvl w:ilvl="0" w:tentative="0">
      <w:start w:val="1"/>
      <w:numFmt w:val="lowerLetter"/>
      <w:suff w:val="nothing"/>
      <w:lvlText w:val="%1）"/>
      <w:lvlJc w:val="left"/>
    </w:lvl>
  </w:abstractNum>
  <w:abstractNum w:abstractNumId="4">
    <w:nsid w:val="A343A6E9"/>
    <w:multiLevelType w:val="singleLevel"/>
    <w:tmpl w:val="A343A6E9"/>
    <w:lvl w:ilvl="0" w:tentative="0">
      <w:start w:val="1"/>
      <w:numFmt w:val="lowerLetter"/>
      <w:suff w:val="nothing"/>
      <w:lvlText w:val="%1）"/>
      <w:lvlJc w:val="left"/>
    </w:lvl>
  </w:abstractNum>
  <w:abstractNum w:abstractNumId="5">
    <w:nsid w:val="A4CDA567"/>
    <w:multiLevelType w:val="singleLevel"/>
    <w:tmpl w:val="A4CDA567"/>
    <w:lvl w:ilvl="0" w:tentative="0">
      <w:start w:val="1"/>
      <w:numFmt w:val="lowerLetter"/>
      <w:suff w:val="nothing"/>
      <w:lvlText w:val="%1）"/>
      <w:lvlJc w:val="left"/>
    </w:lvl>
  </w:abstractNum>
  <w:abstractNum w:abstractNumId="6">
    <w:nsid w:val="A69E6B8B"/>
    <w:multiLevelType w:val="singleLevel"/>
    <w:tmpl w:val="A69E6B8B"/>
    <w:lvl w:ilvl="0" w:tentative="0">
      <w:start w:val="1"/>
      <w:numFmt w:val="lowerLetter"/>
      <w:suff w:val="nothing"/>
      <w:lvlText w:val="%1）"/>
      <w:lvlJc w:val="left"/>
    </w:lvl>
  </w:abstractNum>
  <w:abstractNum w:abstractNumId="7">
    <w:nsid w:val="AA78E869"/>
    <w:multiLevelType w:val="singleLevel"/>
    <w:tmpl w:val="AA78E869"/>
    <w:lvl w:ilvl="0" w:tentative="0">
      <w:start w:val="1"/>
      <w:numFmt w:val="lowerLetter"/>
      <w:suff w:val="nothing"/>
      <w:lvlText w:val="%1）"/>
      <w:lvlJc w:val="left"/>
    </w:lvl>
  </w:abstractNum>
  <w:abstractNum w:abstractNumId="8">
    <w:nsid w:val="AE25BB10"/>
    <w:multiLevelType w:val="singleLevel"/>
    <w:tmpl w:val="AE25BB10"/>
    <w:lvl w:ilvl="0" w:tentative="0">
      <w:start w:val="1"/>
      <w:numFmt w:val="lowerLetter"/>
      <w:suff w:val="nothing"/>
      <w:lvlText w:val="%1）"/>
      <w:lvlJc w:val="left"/>
    </w:lvl>
  </w:abstractNum>
  <w:abstractNum w:abstractNumId="9">
    <w:nsid w:val="B3A2764C"/>
    <w:multiLevelType w:val="singleLevel"/>
    <w:tmpl w:val="B3A2764C"/>
    <w:lvl w:ilvl="0" w:tentative="0">
      <w:start w:val="1"/>
      <w:numFmt w:val="lowerLetter"/>
      <w:suff w:val="nothing"/>
      <w:lvlText w:val="%1）"/>
      <w:lvlJc w:val="left"/>
    </w:lvl>
  </w:abstractNum>
  <w:abstractNum w:abstractNumId="10">
    <w:nsid w:val="B6D9775E"/>
    <w:multiLevelType w:val="multilevel"/>
    <w:tmpl w:val="B6D9775E"/>
    <w:lvl w:ilvl="0" w:tentative="0">
      <w:start w:val="1"/>
      <w:numFmt w:val="lowerLetter"/>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
    <w:nsid w:val="B9BAF16D"/>
    <w:multiLevelType w:val="singleLevel"/>
    <w:tmpl w:val="B9BAF16D"/>
    <w:lvl w:ilvl="0" w:tentative="0">
      <w:start w:val="1"/>
      <w:numFmt w:val="lowerLetter"/>
      <w:suff w:val="nothing"/>
      <w:lvlText w:val="%1）"/>
      <w:lvlJc w:val="left"/>
    </w:lvl>
  </w:abstractNum>
  <w:abstractNum w:abstractNumId="12">
    <w:nsid w:val="BA1176CE"/>
    <w:multiLevelType w:val="singleLevel"/>
    <w:tmpl w:val="BA1176CE"/>
    <w:lvl w:ilvl="0" w:tentative="0">
      <w:start w:val="1"/>
      <w:numFmt w:val="lowerLetter"/>
      <w:suff w:val="nothing"/>
      <w:lvlText w:val="%1）"/>
      <w:lvlJc w:val="left"/>
    </w:lvl>
  </w:abstractNum>
  <w:abstractNum w:abstractNumId="13">
    <w:nsid w:val="BC68FD8E"/>
    <w:multiLevelType w:val="singleLevel"/>
    <w:tmpl w:val="BC68FD8E"/>
    <w:lvl w:ilvl="0" w:tentative="0">
      <w:start w:val="1"/>
      <w:numFmt w:val="lowerLetter"/>
      <w:suff w:val="nothing"/>
      <w:lvlText w:val="%1）"/>
      <w:lvlJc w:val="left"/>
    </w:lvl>
  </w:abstractNum>
  <w:abstractNum w:abstractNumId="14">
    <w:nsid w:val="C17BA4E0"/>
    <w:multiLevelType w:val="singleLevel"/>
    <w:tmpl w:val="C17BA4E0"/>
    <w:lvl w:ilvl="0" w:tentative="0">
      <w:start w:val="1"/>
      <w:numFmt w:val="lowerLetter"/>
      <w:suff w:val="nothing"/>
      <w:lvlText w:val="%1）"/>
      <w:lvlJc w:val="left"/>
    </w:lvl>
  </w:abstractNum>
  <w:abstractNum w:abstractNumId="15">
    <w:nsid w:val="C21241EB"/>
    <w:multiLevelType w:val="singleLevel"/>
    <w:tmpl w:val="C21241EB"/>
    <w:lvl w:ilvl="0" w:tentative="0">
      <w:start w:val="1"/>
      <w:numFmt w:val="lowerLetter"/>
      <w:suff w:val="nothing"/>
      <w:lvlText w:val="%1）"/>
      <w:lvlJc w:val="left"/>
    </w:lvl>
  </w:abstractNum>
  <w:abstractNum w:abstractNumId="16">
    <w:nsid w:val="C3A79325"/>
    <w:multiLevelType w:val="singleLevel"/>
    <w:tmpl w:val="C3A79325"/>
    <w:lvl w:ilvl="0" w:tentative="0">
      <w:start w:val="1"/>
      <w:numFmt w:val="lowerLetter"/>
      <w:suff w:val="nothing"/>
      <w:lvlText w:val="%1）"/>
      <w:lvlJc w:val="left"/>
    </w:lvl>
  </w:abstractNum>
  <w:abstractNum w:abstractNumId="17">
    <w:nsid w:val="CB0A15DA"/>
    <w:multiLevelType w:val="singleLevel"/>
    <w:tmpl w:val="CB0A15DA"/>
    <w:lvl w:ilvl="0" w:tentative="0">
      <w:start w:val="1"/>
      <w:numFmt w:val="lowerLetter"/>
      <w:suff w:val="nothing"/>
      <w:lvlText w:val="%1）"/>
      <w:lvlJc w:val="left"/>
    </w:lvl>
  </w:abstractNum>
  <w:abstractNum w:abstractNumId="18">
    <w:nsid w:val="CD4C2DEE"/>
    <w:multiLevelType w:val="singleLevel"/>
    <w:tmpl w:val="CD4C2DEE"/>
    <w:lvl w:ilvl="0" w:tentative="0">
      <w:start w:val="1"/>
      <w:numFmt w:val="lowerLetter"/>
      <w:suff w:val="nothing"/>
      <w:lvlText w:val="%1）"/>
      <w:lvlJc w:val="left"/>
    </w:lvl>
  </w:abstractNum>
  <w:abstractNum w:abstractNumId="19">
    <w:nsid w:val="CD8995DA"/>
    <w:multiLevelType w:val="singleLevel"/>
    <w:tmpl w:val="CD8995DA"/>
    <w:lvl w:ilvl="0" w:tentative="0">
      <w:start w:val="1"/>
      <w:numFmt w:val="lowerLetter"/>
      <w:suff w:val="nothing"/>
      <w:lvlText w:val="%1）"/>
      <w:lvlJc w:val="left"/>
    </w:lvl>
  </w:abstractNum>
  <w:abstractNum w:abstractNumId="20">
    <w:nsid w:val="D3DB8BDE"/>
    <w:multiLevelType w:val="singleLevel"/>
    <w:tmpl w:val="D3DB8BDE"/>
    <w:lvl w:ilvl="0" w:tentative="0">
      <w:start w:val="1"/>
      <w:numFmt w:val="lowerLetter"/>
      <w:suff w:val="nothing"/>
      <w:lvlText w:val="%1）"/>
      <w:lvlJc w:val="left"/>
    </w:lvl>
  </w:abstractNum>
  <w:abstractNum w:abstractNumId="21">
    <w:nsid w:val="D5859810"/>
    <w:multiLevelType w:val="singleLevel"/>
    <w:tmpl w:val="D5859810"/>
    <w:lvl w:ilvl="0" w:tentative="0">
      <w:start w:val="1"/>
      <w:numFmt w:val="lowerLetter"/>
      <w:suff w:val="nothing"/>
      <w:lvlText w:val="%1）"/>
      <w:lvlJc w:val="left"/>
    </w:lvl>
  </w:abstractNum>
  <w:abstractNum w:abstractNumId="22">
    <w:nsid w:val="D5B85C96"/>
    <w:multiLevelType w:val="singleLevel"/>
    <w:tmpl w:val="D5B85C96"/>
    <w:lvl w:ilvl="0" w:tentative="0">
      <w:start w:val="1"/>
      <w:numFmt w:val="lowerLetter"/>
      <w:suff w:val="nothing"/>
      <w:lvlText w:val="%1）"/>
      <w:lvlJc w:val="left"/>
    </w:lvl>
  </w:abstractNum>
  <w:abstractNum w:abstractNumId="23">
    <w:nsid w:val="DA1C6747"/>
    <w:multiLevelType w:val="singleLevel"/>
    <w:tmpl w:val="DA1C6747"/>
    <w:lvl w:ilvl="0" w:tentative="0">
      <w:start w:val="1"/>
      <w:numFmt w:val="lowerLetter"/>
      <w:suff w:val="nothing"/>
      <w:lvlText w:val="%1）"/>
      <w:lvlJc w:val="left"/>
    </w:lvl>
  </w:abstractNum>
  <w:abstractNum w:abstractNumId="24">
    <w:nsid w:val="DC75DCC7"/>
    <w:multiLevelType w:val="singleLevel"/>
    <w:tmpl w:val="DC75DCC7"/>
    <w:lvl w:ilvl="0" w:tentative="0">
      <w:start w:val="1"/>
      <w:numFmt w:val="lowerLetter"/>
      <w:suff w:val="nothing"/>
      <w:lvlText w:val="%1）"/>
      <w:lvlJc w:val="left"/>
    </w:lvl>
  </w:abstractNum>
  <w:abstractNum w:abstractNumId="25">
    <w:nsid w:val="E08239C6"/>
    <w:multiLevelType w:val="singleLevel"/>
    <w:tmpl w:val="E08239C6"/>
    <w:lvl w:ilvl="0" w:tentative="0">
      <w:start w:val="1"/>
      <w:numFmt w:val="lowerLetter"/>
      <w:suff w:val="nothing"/>
      <w:lvlText w:val="%1）"/>
      <w:lvlJc w:val="left"/>
    </w:lvl>
  </w:abstractNum>
  <w:abstractNum w:abstractNumId="26">
    <w:nsid w:val="E255AE11"/>
    <w:multiLevelType w:val="singleLevel"/>
    <w:tmpl w:val="E255AE11"/>
    <w:lvl w:ilvl="0" w:tentative="0">
      <w:start w:val="1"/>
      <w:numFmt w:val="lowerLetter"/>
      <w:suff w:val="nothing"/>
      <w:lvlText w:val="%1）"/>
      <w:lvlJc w:val="left"/>
    </w:lvl>
  </w:abstractNum>
  <w:abstractNum w:abstractNumId="27">
    <w:nsid w:val="E73C394C"/>
    <w:multiLevelType w:val="singleLevel"/>
    <w:tmpl w:val="E73C394C"/>
    <w:lvl w:ilvl="0" w:tentative="0">
      <w:start w:val="1"/>
      <w:numFmt w:val="lowerLetter"/>
      <w:suff w:val="nothing"/>
      <w:lvlText w:val="%1）"/>
      <w:lvlJc w:val="left"/>
    </w:lvl>
  </w:abstractNum>
  <w:abstractNum w:abstractNumId="28">
    <w:nsid w:val="F17BC592"/>
    <w:multiLevelType w:val="singleLevel"/>
    <w:tmpl w:val="F17BC592"/>
    <w:lvl w:ilvl="0" w:tentative="0">
      <w:start w:val="1"/>
      <w:numFmt w:val="lowerLetter"/>
      <w:suff w:val="nothing"/>
      <w:lvlText w:val="%1）"/>
      <w:lvlJc w:val="left"/>
    </w:lvl>
  </w:abstractNum>
  <w:abstractNum w:abstractNumId="29">
    <w:nsid w:val="F25D5B37"/>
    <w:multiLevelType w:val="singleLevel"/>
    <w:tmpl w:val="F25D5B37"/>
    <w:lvl w:ilvl="0" w:tentative="0">
      <w:start w:val="1"/>
      <w:numFmt w:val="lowerLetter"/>
      <w:suff w:val="nothing"/>
      <w:lvlText w:val="%1）"/>
      <w:lvlJc w:val="left"/>
    </w:lvl>
  </w:abstractNum>
  <w:abstractNum w:abstractNumId="30">
    <w:nsid w:val="F7DCFCEB"/>
    <w:multiLevelType w:val="singleLevel"/>
    <w:tmpl w:val="F7DCFCEB"/>
    <w:lvl w:ilvl="0" w:tentative="0">
      <w:start w:val="1"/>
      <w:numFmt w:val="lowerLetter"/>
      <w:suff w:val="nothing"/>
      <w:lvlText w:val="%1）"/>
      <w:lvlJc w:val="left"/>
    </w:lvl>
  </w:abstractNum>
  <w:abstractNum w:abstractNumId="31">
    <w:nsid w:val="FCA834A2"/>
    <w:multiLevelType w:val="singleLevel"/>
    <w:tmpl w:val="FCA834A2"/>
    <w:lvl w:ilvl="0" w:tentative="0">
      <w:start w:val="1"/>
      <w:numFmt w:val="lowerLetter"/>
      <w:suff w:val="nothing"/>
      <w:lvlText w:val="%1）"/>
      <w:lvlJc w:val="left"/>
    </w:lvl>
  </w:abstractNum>
  <w:abstractNum w:abstractNumId="32">
    <w:nsid w:val="FF104812"/>
    <w:multiLevelType w:val="singleLevel"/>
    <w:tmpl w:val="FF104812"/>
    <w:lvl w:ilvl="0" w:tentative="0">
      <w:start w:val="1"/>
      <w:numFmt w:val="lowerLetter"/>
      <w:suff w:val="nothing"/>
      <w:lvlText w:val="%1）"/>
      <w:lvlJc w:val="left"/>
    </w:lvl>
  </w:abstractNum>
  <w:abstractNum w:abstractNumId="33">
    <w:nsid w:val="013851E8"/>
    <w:multiLevelType w:val="singleLevel"/>
    <w:tmpl w:val="013851E8"/>
    <w:lvl w:ilvl="0" w:tentative="0">
      <w:start w:val="1"/>
      <w:numFmt w:val="lowerLetter"/>
      <w:suff w:val="nothing"/>
      <w:lvlText w:val="%1）"/>
      <w:lvlJc w:val="left"/>
    </w:lvl>
  </w:abstractNum>
  <w:abstractNum w:abstractNumId="34">
    <w:nsid w:val="03D1ACE2"/>
    <w:multiLevelType w:val="singleLevel"/>
    <w:tmpl w:val="03D1ACE2"/>
    <w:lvl w:ilvl="0" w:tentative="0">
      <w:start w:val="1"/>
      <w:numFmt w:val="lowerLetter"/>
      <w:suff w:val="nothing"/>
      <w:lvlText w:val="%1）"/>
      <w:lvlJc w:val="left"/>
    </w:lvl>
  </w:abstractNum>
  <w:abstractNum w:abstractNumId="35">
    <w:nsid w:val="04063D80"/>
    <w:multiLevelType w:val="singleLevel"/>
    <w:tmpl w:val="04063D80"/>
    <w:lvl w:ilvl="0" w:tentative="0">
      <w:start w:val="1"/>
      <w:numFmt w:val="lowerLetter"/>
      <w:suff w:val="nothing"/>
      <w:lvlText w:val="%1）"/>
      <w:lvlJc w:val="left"/>
    </w:lvl>
  </w:abstractNum>
  <w:abstractNum w:abstractNumId="36">
    <w:nsid w:val="079102AD"/>
    <w:multiLevelType w:val="multilevel"/>
    <w:tmpl w:val="079102AD"/>
    <w:lvl w:ilvl="0" w:tentative="0">
      <w:start w:val="1"/>
      <w:numFmt w:val="decimal"/>
      <w:pStyle w:val="8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7">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8">
    <w:nsid w:val="0AE367E9"/>
    <w:multiLevelType w:val="multilevel"/>
    <w:tmpl w:val="0AE367E9"/>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9">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0">
    <w:nsid w:val="1DBF583A"/>
    <w:multiLevelType w:val="multilevel"/>
    <w:tmpl w:val="1DBF583A"/>
    <w:lvl w:ilvl="0" w:tentative="0">
      <w:start w:val="1"/>
      <w:numFmt w:val="decimal"/>
      <w:pStyle w:val="8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1">
    <w:nsid w:val="1FC91163"/>
    <w:multiLevelType w:val="multilevel"/>
    <w:tmpl w:val="1FC91163"/>
    <w:lvl w:ilvl="0" w:tentative="0">
      <w:start w:val="1"/>
      <w:numFmt w:val="decimal"/>
      <w:pStyle w:val="9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2">
    <w:nsid w:val="1FFF2018"/>
    <w:multiLevelType w:val="singleLevel"/>
    <w:tmpl w:val="1FFF2018"/>
    <w:lvl w:ilvl="0" w:tentative="0">
      <w:start w:val="1"/>
      <w:numFmt w:val="lowerLetter"/>
      <w:suff w:val="nothing"/>
      <w:lvlText w:val="%1）"/>
      <w:lvlJc w:val="left"/>
    </w:lvl>
  </w:abstractNum>
  <w:abstractNum w:abstractNumId="43">
    <w:nsid w:val="23D96B16"/>
    <w:multiLevelType w:val="singleLevel"/>
    <w:tmpl w:val="23D96B16"/>
    <w:lvl w:ilvl="0" w:tentative="0">
      <w:start w:val="1"/>
      <w:numFmt w:val="lowerLetter"/>
      <w:suff w:val="nothing"/>
      <w:lvlText w:val="%1）"/>
      <w:lvlJc w:val="left"/>
    </w:lvl>
  </w:abstractNum>
  <w:abstractNum w:abstractNumId="44">
    <w:nsid w:val="265594F8"/>
    <w:multiLevelType w:val="singleLevel"/>
    <w:tmpl w:val="265594F8"/>
    <w:lvl w:ilvl="0" w:tentative="0">
      <w:start w:val="1"/>
      <w:numFmt w:val="lowerLetter"/>
      <w:suff w:val="nothing"/>
      <w:lvlText w:val="%1）"/>
      <w:lvlJc w:val="left"/>
    </w:lvl>
  </w:abstractNum>
  <w:abstractNum w:abstractNumId="45">
    <w:nsid w:val="2A57A604"/>
    <w:multiLevelType w:val="singleLevel"/>
    <w:tmpl w:val="2A57A604"/>
    <w:lvl w:ilvl="0" w:tentative="0">
      <w:start w:val="1"/>
      <w:numFmt w:val="lowerLetter"/>
      <w:suff w:val="nothing"/>
      <w:lvlText w:val="%1）"/>
      <w:lvlJc w:val="left"/>
    </w:lvl>
  </w:abstractNum>
  <w:abstractNum w:abstractNumId="46">
    <w:nsid w:val="2A8F7113"/>
    <w:multiLevelType w:val="multilevel"/>
    <w:tmpl w:val="2A8F7113"/>
    <w:lvl w:ilvl="0" w:tentative="0">
      <w:start w:val="1"/>
      <w:numFmt w:val="upperLetter"/>
      <w:pStyle w:val="61"/>
      <w:suff w:val="space"/>
      <w:lvlText w:val="%1"/>
      <w:lvlJc w:val="left"/>
      <w:pPr>
        <w:ind w:left="623" w:hanging="425"/>
      </w:pPr>
      <w:rPr>
        <w:rFonts w:hint="eastAsia"/>
      </w:rPr>
    </w:lvl>
    <w:lvl w:ilvl="1" w:tentative="0">
      <w:start w:val="1"/>
      <w:numFmt w:val="decimal"/>
      <w:pStyle w:val="11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7">
    <w:nsid w:val="2C5917C3"/>
    <w:multiLevelType w:val="multilevel"/>
    <w:tmpl w:val="2C5917C3"/>
    <w:lvl w:ilvl="0" w:tentative="0">
      <w:start w:val="1"/>
      <w:numFmt w:val="none"/>
      <w:pStyle w:val="103"/>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9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8">
    <w:nsid w:val="2CAAFC6A"/>
    <w:multiLevelType w:val="singleLevel"/>
    <w:tmpl w:val="2CAAFC6A"/>
    <w:lvl w:ilvl="0" w:tentative="0">
      <w:start w:val="1"/>
      <w:numFmt w:val="lowerLetter"/>
      <w:suff w:val="nothing"/>
      <w:lvlText w:val="%1）"/>
      <w:lvlJc w:val="left"/>
    </w:lvl>
  </w:abstractNum>
  <w:abstractNum w:abstractNumId="49">
    <w:nsid w:val="2DEE6E67"/>
    <w:multiLevelType w:val="singleLevel"/>
    <w:tmpl w:val="2DEE6E67"/>
    <w:lvl w:ilvl="0" w:tentative="0">
      <w:start w:val="1"/>
      <w:numFmt w:val="lowerLetter"/>
      <w:suff w:val="nothing"/>
      <w:lvlText w:val="%1）"/>
      <w:lvlJc w:val="left"/>
    </w:lvl>
  </w:abstractNum>
  <w:abstractNum w:abstractNumId="50">
    <w:nsid w:val="2FE9A536"/>
    <w:multiLevelType w:val="singleLevel"/>
    <w:tmpl w:val="2FE9A536"/>
    <w:lvl w:ilvl="0" w:tentative="0">
      <w:start w:val="1"/>
      <w:numFmt w:val="lowerLetter"/>
      <w:suff w:val="nothing"/>
      <w:lvlText w:val="%1）"/>
      <w:lvlJc w:val="left"/>
    </w:lvl>
  </w:abstractNum>
  <w:abstractNum w:abstractNumId="51">
    <w:nsid w:val="384ACCDC"/>
    <w:multiLevelType w:val="singleLevel"/>
    <w:tmpl w:val="384ACCDC"/>
    <w:lvl w:ilvl="0" w:tentative="0">
      <w:start w:val="1"/>
      <w:numFmt w:val="lowerLetter"/>
      <w:suff w:val="nothing"/>
      <w:lvlText w:val="%1）"/>
      <w:lvlJc w:val="left"/>
    </w:lvl>
  </w:abstractNum>
  <w:abstractNum w:abstractNumId="52">
    <w:nsid w:val="3B6ECDD0"/>
    <w:multiLevelType w:val="singleLevel"/>
    <w:tmpl w:val="3B6ECDD0"/>
    <w:lvl w:ilvl="0" w:tentative="0">
      <w:start w:val="1"/>
      <w:numFmt w:val="lowerLetter"/>
      <w:suff w:val="nothing"/>
      <w:lvlText w:val="%1）"/>
      <w:lvlJc w:val="left"/>
    </w:lvl>
  </w:abstractNum>
  <w:abstractNum w:abstractNumId="53">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4">
    <w:nsid w:val="40FB927F"/>
    <w:multiLevelType w:val="singleLevel"/>
    <w:tmpl w:val="40FB927F"/>
    <w:lvl w:ilvl="0" w:tentative="0">
      <w:start w:val="1"/>
      <w:numFmt w:val="lowerLetter"/>
      <w:suff w:val="nothing"/>
      <w:lvlText w:val="%1）"/>
      <w:lvlJc w:val="left"/>
    </w:lvl>
  </w:abstractNum>
  <w:abstractNum w:abstractNumId="55">
    <w:nsid w:val="43459F66"/>
    <w:multiLevelType w:val="singleLevel"/>
    <w:tmpl w:val="43459F66"/>
    <w:lvl w:ilvl="0" w:tentative="0">
      <w:start w:val="1"/>
      <w:numFmt w:val="lowerLetter"/>
      <w:suff w:val="nothing"/>
      <w:lvlText w:val="%1）"/>
      <w:lvlJc w:val="left"/>
    </w:lvl>
  </w:abstractNum>
  <w:abstractNum w:abstractNumId="56">
    <w:nsid w:val="44C50F90"/>
    <w:multiLevelType w:val="multilevel"/>
    <w:tmpl w:val="44C50F90"/>
    <w:lvl w:ilvl="0" w:tentative="0">
      <w:start w:val="1"/>
      <w:numFmt w:val="lowerLetter"/>
      <w:pStyle w:val="7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6"/>
      <w:lvlText w:val="%2)"/>
      <w:lvlJc w:val="left"/>
      <w:pPr>
        <w:tabs>
          <w:tab w:val="left" w:pos="1260"/>
        </w:tabs>
        <w:ind w:left="1259" w:hanging="419"/>
      </w:pPr>
      <w:rPr>
        <w:rFonts w:hint="eastAsia"/>
      </w:rPr>
    </w:lvl>
    <w:lvl w:ilvl="2" w:tentative="0">
      <w:start w:val="1"/>
      <w:numFmt w:val="decimal"/>
      <w:pStyle w:val="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7">
    <w:nsid w:val="4607A077"/>
    <w:multiLevelType w:val="singleLevel"/>
    <w:tmpl w:val="4607A077"/>
    <w:lvl w:ilvl="0" w:tentative="0">
      <w:start w:val="1"/>
      <w:numFmt w:val="lowerLetter"/>
      <w:suff w:val="nothing"/>
      <w:lvlText w:val="%1）"/>
      <w:lvlJc w:val="left"/>
    </w:lvl>
  </w:abstractNum>
  <w:abstractNum w:abstractNumId="58">
    <w:nsid w:val="462A70EE"/>
    <w:multiLevelType w:val="singleLevel"/>
    <w:tmpl w:val="462A70EE"/>
    <w:lvl w:ilvl="0" w:tentative="0">
      <w:start w:val="1"/>
      <w:numFmt w:val="lowerLetter"/>
      <w:suff w:val="nothing"/>
      <w:lvlText w:val="%1）"/>
      <w:lvlJc w:val="left"/>
    </w:lvl>
  </w:abstractNum>
  <w:abstractNum w:abstractNumId="59">
    <w:nsid w:val="4A1EC7DA"/>
    <w:multiLevelType w:val="singleLevel"/>
    <w:tmpl w:val="4A1EC7DA"/>
    <w:lvl w:ilvl="0" w:tentative="0">
      <w:start w:val="1"/>
      <w:numFmt w:val="lowerLetter"/>
      <w:suff w:val="nothing"/>
      <w:lvlText w:val="%1）"/>
      <w:lvlJc w:val="left"/>
    </w:lvl>
  </w:abstractNum>
  <w:abstractNum w:abstractNumId="60">
    <w:nsid w:val="4A521E1C"/>
    <w:multiLevelType w:val="singleLevel"/>
    <w:tmpl w:val="4A521E1C"/>
    <w:lvl w:ilvl="0" w:tentative="0">
      <w:start w:val="1"/>
      <w:numFmt w:val="lowerLetter"/>
      <w:suff w:val="nothing"/>
      <w:lvlText w:val="%1）"/>
      <w:lvlJc w:val="left"/>
    </w:lvl>
  </w:abstractNum>
  <w:abstractNum w:abstractNumId="61">
    <w:nsid w:val="4B733A5F"/>
    <w:multiLevelType w:val="multilevel"/>
    <w:tmpl w:val="4B733A5F"/>
    <w:lvl w:ilvl="0" w:tentative="0">
      <w:start w:val="1"/>
      <w:numFmt w:val="decimal"/>
      <w:pStyle w:val="9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62">
    <w:nsid w:val="4C6EB52A"/>
    <w:multiLevelType w:val="singleLevel"/>
    <w:tmpl w:val="4C6EB52A"/>
    <w:lvl w:ilvl="0" w:tentative="0">
      <w:start w:val="1"/>
      <w:numFmt w:val="lowerLetter"/>
      <w:suff w:val="nothing"/>
      <w:lvlText w:val="%1）"/>
      <w:lvlJc w:val="left"/>
    </w:lvl>
  </w:abstractNum>
  <w:abstractNum w:abstractNumId="63">
    <w:nsid w:val="4F6324F4"/>
    <w:multiLevelType w:val="singleLevel"/>
    <w:tmpl w:val="4F6324F4"/>
    <w:lvl w:ilvl="0" w:tentative="0">
      <w:start w:val="1"/>
      <w:numFmt w:val="lowerLetter"/>
      <w:suff w:val="nothing"/>
      <w:lvlText w:val="%1）"/>
      <w:lvlJc w:val="left"/>
    </w:lvl>
  </w:abstractNum>
  <w:abstractNum w:abstractNumId="64">
    <w:nsid w:val="50D7DB78"/>
    <w:multiLevelType w:val="singleLevel"/>
    <w:tmpl w:val="50D7DB78"/>
    <w:lvl w:ilvl="0" w:tentative="0">
      <w:start w:val="1"/>
      <w:numFmt w:val="lowerLetter"/>
      <w:suff w:val="nothing"/>
      <w:lvlText w:val="%1）"/>
      <w:lvlJc w:val="left"/>
    </w:lvl>
  </w:abstractNum>
  <w:abstractNum w:abstractNumId="65">
    <w:nsid w:val="530BB298"/>
    <w:multiLevelType w:val="singleLevel"/>
    <w:tmpl w:val="530BB298"/>
    <w:lvl w:ilvl="0" w:tentative="0">
      <w:start w:val="1"/>
      <w:numFmt w:val="lowerLetter"/>
      <w:suff w:val="nothing"/>
      <w:lvlText w:val="%1）"/>
      <w:lvlJc w:val="left"/>
    </w:lvl>
  </w:abstractNum>
  <w:abstractNum w:abstractNumId="66">
    <w:nsid w:val="557C2AF5"/>
    <w:multiLevelType w:val="multilevel"/>
    <w:tmpl w:val="557C2AF5"/>
    <w:lvl w:ilvl="0" w:tentative="0">
      <w:start w:val="1"/>
      <w:numFmt w:val="decimal"/>
      <w:pStyle w:val="12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7">
    <w:nsid w:val="60B55DC2"/>
    <w:multiLevelType w:val="multilevel"/>
    <w:tmpl w:val="60B55DC2"/>
    <w:lvl w:ilvl="0" w:tentative="0">
      <w:start w:val="1"/>
      <w:numFmt w:val="upperLetter"/>
      <w:pStyle w:val="62"/>
      <w:lvlText w:val="%1"/>
      <w:lvlJc w:val="left"/>
      <w:pPr>
        <w:tabs>
          <w:tab w:val="left" w:pos="0"/>
        </w:tabs>
        <w:ind w:left="0" w:hanging="425"/>
      </w:pPr>
      <w:rPr>
        <w:rFonts w:hint="eastAsia"/>
      </w:rPr>
    </w:lvl>
    <w:lvl w:ilvl="1" w:tentative="0">
      <w:start w:val="1"/>
      <w:numFmt w:val="decimal"/>
      <w:pStyle w:val="11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8">
    <w:nsid w:val="63E34D2C"/>
    <w:multiLevelType w:val="singleLevel"/>
    <w:tmpl w:val="63E34D2C"/>
    <w:lvl w:ilvl="0" w:tentative="0">
      <w:start w:val="1"/>
      <w:numFmt w:val="lowerLetter"/>
      <w:suff w:val="nothing"/>
      <w:lvlText w:val="%1）"/>
      <w:lvlJc w:val="left"/>
    </w:lvl>
  </w:abstractNum>
  <w:abstractNum w:abstractNumId="69">
    <w:nsid w:val="646260FA"/>
    <w:multiLevelType w:val="multilevel"/>
    <w:tmpl w:val="646260FA"/>
    <w:lvl w:ilvl="0" w:tentative="0">
      <w:start w:val="1"/>
      <w:numFmt w:val="decimal"/>
      <w:pStyle w:val="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0">
    <w:nsid w:val="657D3FBC"/>
    <w:multiLevelType w:val="multilevel"/>
    <w:tmpl w:val="657D3FBC"/>
    <w:lvl w:ilvl="0" w:tentative="0">
      <w:start w:val="1"/>
      <w:numFmt w:val="upperLetter"/>
      <w:pStyle w:val="4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2"/>
      <w:suff w:val="nothing"/>
      <w:lvlText w:val="%1.%2.%3.%4.%5.%6　"/>
      <w:lvlJc w:val="left"/>
      <w:pPr>
        <w:ind w:left="0" w:firstLine="0"/>
      </w:pPr>
      <w:rPr>
        <w:rFonts w:hint="eastAsia" w:ascii="黑体" w:hAnsi="Times New Roman" w:eastAsia="黑体"/>
        <w:b w:val="0"/>
        <w:i w:val="0"/>
        <w:sz w:val="21"/>
      </w:rPr>
    </w:lvl>
    <w:lvl w:ilvl="6" w:tentative="0">
      <w:start w:val="1"/>
      <w:numFmt w:val="decimal"/>
      <w:pStyle w:val="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1">
    <w:nsid w:val="691F2088"/>
    <w:multiLevelType w:val="singleLevel"/>
    <w:tmpl w:val="691F2088"/>
    <w:lvl w:ilvl="0" w:tentative="0">
      <w:start w:val="1"/>
      <w:numFmt w:val="lowerLetter"/>
      <w:suff w:val="nothing"/>
      <w:lvlText w:val="%1）"/>
      <w:lvlJc w:val="left"/>
    </w:lvl>
  </w:abstractNum>
  <w:abstractNum w:abstractNumId="72">
    <w:nsid w:val="6A1514E4"/>
    <w:multiLevelType w:val="singleLevel"/>
    <w:tmpl w:val="6A1514E4"/>
    <w:lvl w:ilvl="0" w:tentative="0">
      <w:start w:val="1"/>
      <w:numFmt w:val="lowerLetter"/>
      <w:suff w:val="nothing"/>
      <w:lvlText w:val="%1）"/>
      <w:lvlJc w:val="left"/>
    </w:lvl>
  </w:abstractNum>
  <w:abstractNum w:abstractNumId="73">
    <w:nsid w:val="6A6BD693"/>
    <w:multiLevelType w:val="singleLevel"/>
    <w:tmpl w:val="6A6BD693"/>
    <w:lvl w:ilvl="0" w:tentative="0">
      <w:start w:val="1"/>
      <w:numFmt w:val="lowerLetter"/>
      <w:suff w:val="nothing"/>
      <w:lvlText w:val="%1）"/>
      <w:lvlJc w:val="left"/>
    </w:lvl>
  </w:abstractNum>
  <w:abstractNum w:abstractNumId="74">
    <w:nsid w:val="6D6C07CD"/>
    <w:multiLevelType w:val="multilevel"/>
    <w:tmpl w:val="6D6C07CD"/>
    <w:lvl w:ilvl="0" w:tentative="0">
      <w:start w:val="1"/>
      <w:numFmt w:val="lowerLetter"/>
      <w:pStyle w:val="90"/>
      <w:lvlText w:val="%1)"/>
      <w:lvlJc w:val="left"/>
      <w:pPr>
        <w:tabs>
          <w:tab w:val="left" w:pos="839"/>
        </w:tabs>
        <w:ind w:left="839" w:hanging="419"/>
      </w:pPr>
      <w:rPr>
        <w:rFonts w:hint="eastAsia" w:ascii="宋体" w:eastAsia="宋体"/>
        <w:b w:val="0"/>
        <w:i w:val="0"/>
        <w:sz w:val="21"/>
      </w:rPr>
    </w:lvl>
    <w:lvl w:ilvl="1" w:tentative="0">
      <w:start w:val="1"/>
      <w:numFmt w:val="decimal"/>
      <w:pStyle w:val="6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75">
    <w:nsid w:val="6DBF04F4"/>
    <w:multiLevelType w:val="multilevel"/>
    <w:tmpl w:val="6DBF04F4"/>
    <w:lvl w:ilvl="0" w:tentative="0">
      <w:start w:val="1"/>
      <w:numFmt w:val="none"/>
      <w:pStyle w:val="4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6">
    <w:nsid w:val="71E52568"/>
    <w:multiLevelType w:val="singleLevel"/>
    <w:tmpl w:val="71E52568"/>
    <w:lvl w:ilvl="0" w:tentative="0">
      <w:start w:val="1"/>
      <w:numFmt w:val="lowerLetter"/>
      <w:suff w:val="nothing"/>
      <w:lvlText w:val="%1）"/>
      <w:lvlJc w:val="left"/>
    </w:lvl>
  </w:abstractNum>
  <w:abstractNum w:abstractNumId="77">
    <w:nsid w:val="7789E750"/>
    <w:multiLevelType w:val="singleLevel"/>
    <w:tmpl w:val="7789E750"/>
    <w:lvl w:ilvl="0" w:tentative="0">
      <w:start w:val="1"/>
      <w:numFmt w:val="lowerLetter"/>
      <w:suff w:val="nothing"/>
      <w:lvlText w:val="%1）"/>
      <w:lvlJc w:val="left"/>
    </w:lvl>
  </w:abstractNum>
  <w:abstractNum w:abstractNumId="78">
    <w:nsid w:val="7CFC6F83"/>
    <w:multiLevelType w:val="singleLevel"/>
    <w:tmpl w:val="7CFC6F83"/>
    <w:lvl w:ilvl="0" w:tentative="0">
      <w:start w:val="1"/>
      <w:numFmt w:val="lowerLetter"/>
      <w:suff w:val="nothing"/>
      <w:lvlText w:val="%1）"/>
      <w:lvlJc w:val="left"/>
    </w:lvl>
  </w:abstractNum>
  <w:abstractNum w:abstractNumId="79">
    <w:nsid w:val="7DDB3D8C"/>
    <w:multiLevelType w:val="singleLevel"/>
    <w:tmpl w:val="7DDB3D8C"/>
    <w:lvl w:ilvl="0" w:tentative="0">
      <w:start w:val="1"/>
      <w:numFmt w:val="lowerLetter"/>
      <w:suff w:val="nothing"/>
      <w:lvlText w:val="%1）"/>
      <w:lvlJc w:val="left"/>
    </w:lvl>
  </w:abstractNum>
  <w:num w:numId="1">
    <w:abstractNumId w:val="53"/>
  </w:num>
  <w:num w:numId="2">
    <w:abstractNumId w:val="70"/>
  </w:num>
  <w:num w:numId="3">
    <w:abstractNumId w:val="75"/>
  </w:num>
  <w:num w:numId="4">
    <w:abstractNumId w:val="56"/>
  </w:num>
  <w:num w:numId="5">
    <w:abstractNumId w:val="41"/>
  </w:num>
  <w:num w:numId="6">
    <w:abstractNumId w:val="47"/>
  </w:num>
  <w:num w:numId="7">
    <w:abstractNumId w:val="69"/>
  </w:num>
  <w:num w:numId="8">
    <w:abstractNumId w:val="74"/>
  </w:num>
  <w:num w:numId="9">
    <w:abstractNumId w:val="46"/>
  </w:num>
  <w:num w:numId="10">
    <w:abstractNumId w:val="67"/>
  </w:num>
  <w:num w:numId="11">
    <w:abstractNumId w:val="40"/>
  </w:num>
  <w:num w:numId="12">
    <w:abstractNumId w:val="36"/>
  </w:num>
  <w:num w:numId="13">
    <w:abstractNumId w:val="38"/>
  </w:num>
  <w:num w:numId="14">
    <w:abstractNumId w:val="61"/>
  </w:num>
  <w:num w:numId="15">
    <w:abstractNumId w:val="37"/>
  </w:num>
  <w:num w:numId="16">
    <w:abstractNumId w:val="39"/>
  </w:num>
  <w:num w:numId="17">
    <w:abstractNumId w:val="66"/>
  </w:num>
  <w:num w:numId="18">
    <w:abstractNumId w:val="1"/>
  </w:num>
  <w:num w:numId="19">
    <w:abstractNumId w:val="11"/>
  </w:num>
  <w:num w:numId="20">
    <w:abstractNumId w:val="72"/>
  </w:num>
  <w:num w:numId="21">
    <w:abstractNumId w:val="30"/>
  </w:num>
  <w:num w:numId="22">
    <w:abstractNumId w:val="79"/>
  </w:num>
  <w:num w:numId="23">
    <w:abstractNumId w:val="14"/>
  </w:num>
  <w:num w:numId="24">
    <w:abstractNumId w:val="68"/>
  </w:num>
  <w:num w:numId="25">
    <w:abstractNumId w:val="45"/>
  </w:num>
  <w:num w:numId="26">
    <w:abstractNumId w:val="13"/>
  </w:num>
  <w:num w:numId="27">
    <w:abstractNumId w:val="8"/>
  </w:num>
  <w:num w:numId="28">
    <w:abstractNumId w:val="25"/>
  </w:num>
  <w:num w:numId="29">
    <w:abstractNumId w:val="19"/>
  </w:num>
  <w:num w:numId="30">
    <w:abstractNumId w:val="50"/>
  </w:num>
  <w:num w:numId="31">
    <w:abstractNumId w:val="10"/>
  </w:num>
  <w:num w:numId="32">
    <w:abstractNumId w:val="17"/>
  </w:num>
  <w:num w:numId="33">
    <w:abstractNumId w:val="44"/>
  </w:num>
  <w:num w:numId="34">
    <w:abstractNumId w:val="4"/>
  </w:num>
  <w:num w:numId="35">
    <w:abstractNumId w:val="78"/>
  </w:num>
  <w:num w:numId="36">
    <w:abstractNumId w:val="24"/>
  </w:num>
  <w:num w:numId="37">
    <w:abstractNumId w:val="33"/>
  </w:num>
  <w:num w:numId="38">
    <w:abstractNumId w:val="32"/>
  </w:num>
  <w:num w:numId="39">
    <w:abstractNumId w:val="49"/>
  </w:num>
  <w:num w:numId="40">
    <w:abstractNumId w:val="3"/>
  </w:num>
  <w:num w:numId="41">
    <w:abstractNumId w:val="34"/>
  </w:num>
  <w:num w:numId="42">
    <w:abstractNumId w:val="0"/>
  </w:num>
  <w:num w:numId="43">
    <w:abstractNumId w:val="77"/>
  </w:num>
  <w:num w:numId="44">
    <w:abstractNumId w:val="54"/>
  </w:num>
  <w:num w:numId="45">
    <w:abstractNumId w:val="55"/>
  </w:num>
  <w:num w:numId="46">
    <w:abstractNumId w:val="9"/>
  </w:num>
  <w:num w:numId="47">
    <w:abstractNumId w:val="63"/>
  </w:num>
  <w:num w:numId="48">
    <w:abstractNumId w:val="21"/>
  </w:num>
  <w:num w:numId="49">
    <w:abstractNumId w:val="29"/>
  </w:num>
  <w:num w:numId="50">
    <w:abstractNumId w:val="23"/>
  </w:num>
  <w:num w:numId="51">
    <w:abstractNumId w:val="31"/>
  </w:num>
  <w:num w:numId="52">
    <w:abstractNumId w:val="7"/>
  </w:num>
  <w:num w:numId="53">
    <w:abstractNumId w:val="2"/>
  </w:num>
  <w:num w:numId="54">
    <w:abstractNumId w:val="73"/>
  </w:num>
  <w:num w:numId="55">
    <w:abstractNumId w:val="71"/>
  </w:num>
  <w:num w:numId="56">
    <w:abstractNumId w:val="58"/>
  </w:num>
  <w:num w:numId="57">
    <w:abstractNumId w:val="35"/>
  </w:num>
  <w:num w:numId="58">
    <w:abstractNumId w:val="43"/>
  </w:num>
  <w:num w:numId="59">
    <w:abstractNumId w:val="65"/>
  </w:num>
  <w:num w:numId="60">
    <w:abstractNumId w:val="59"/>
  </w:num>
  <w:num w:numId="61">
    <w:abstractNumId w:val="60"/>
  </w:num>
  <w:num w:numId="62">
    <w:abstractNumId w:val="28"/>
  </w:num>
  <w:num w:numId="63">
    <w:abstractNumId w:val="62"/>
  </w:num>
  <w:num w:numId="64">
    <w:abstractNumId w:val="42"/>
  </w:num>
  <w:num w:numId="65">
    <w:abstractNumId w:val="5"/>
  </w:num>
  <w:num w:numId="66">
    <w:abstractNumId w:val="48"/>
  </w:num>
  <w:num w:numId="67">
    <w:abstractNumId w:val="22"/>
  </w:num>
  <w:num w:numId="68">
    <w:abstractNumId w:val="26"/>
  </w:num>
  <w:num w:numId="69">
    <w:abstractNumId w:val="18"/>
  </w:num>
  <w:num w:numId="70">
    <w:abstractNumId w:val="16"/>
  </w:num>
  <w:num w:numId="71">
    <w:abstractNumId w:val="20"/>
  </w:num>
  <w:num w:numId="72">
    <w:abstractNumId w:val="76"/>
  </w:num>
  <w:num w:numId="73">
    <w:abstractNumId w:val="27"/>
  </w:num>
  <w:num w:numId="74">
    <w:abstractNumId w:val="52"/>
  </w:num>
  <w:num w:numId="75">
    <w:abstractNumId w:val="15"/>
  </w:num>
  <w:num w:numId="76">
    <w:abstractNumId w:val="12"/>
  </w:num>
  <w:num w:numId="77">
    <w:abstractNumId w:val="64"/>
  </w:num>
  <w:num w:numId="78">
    <w:abstractNumId w:val="57"/>
  </w:num>
  <w:num w:numId="79">
    <w:abstractNumId w:val="51"/>
  </w:num>
  <w:num w:numId="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31F22"/>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D3947"/>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62812"/>
    <w:rsid w:val="00471E91"/>
    <w:rsid w:val="00474675"/>
    <w:rsid w:val="0047470C"/>
    <w:rsid w:val="00493291"/>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18E6"/>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1D15"/>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5CAF"/>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 w:val="01075C06"/>
    <w:rsid w:val="01124B68"/>
    <w:rsid w:val="012540D0"/>
    <w:rsid w:val="012A40E0"/>
    <w:rsid w:val="0158106E"/>
    <w:rsid w:val="01A727C3"/>
    <w:rsid w:val="01C84416"/>
    <w:rsid w:val="01CC0F23"/>
    <w:rsid w:val="01E17049"/>
    <w:rsid w:val="02260CFC"/>
    <w:rsid w:val="02300818"/>
    <w:rsid w:val="02481E45"/>
    <w:rsid w:val="024F1F02"/>
    <w:rsid w:val="026637D7"/>
    <w:rsid w:val="028E0144"/>
    <w:rsid w:val="02BD0A06"/>
    <w:rsid w:val="02C92D85"/>
    <w:rsid w:val="02CC1F22"/>
    <w:rsid w:val="02D44C70"/>
    <w:rsid w:val="02DF27EE"/>
    <w:rsid w:val="02E2696F"/>
    <w:rsid w:val="03180DAD"/>
    <w:rsid w:val="0330302F"/>
    <w:rsid w:val="03527440"/>
    <w:rsid w:val="039712A1"/>
    <w:rsid w:val="03994F11"/>
    <w:rsid w:val="039A14F4"/>
    <w:rsid w:val="03AF3694"/>
    <w:rsid w:val="03B2731B"/>
    <w:rsid w:val="03CF0EC1"/>
    <w:rsid w:val="03D05704"/>
    <w:rsid w:val="03F072D6"/>
    <w:rsid w:val="03F9423D"/>
    <w:rsid w:val="04211C9E"/>
    <w:rsid w:val="043F7065"/>
    <w:rsid w:val="0455694E"/>
    <w:rsid w:val="04587FFC"/>
    <w:rsid w:val="046D3DE3"/>
    <w:rsid w:val="04932546"/>
    <w:rsid w:val="04A0234C"/>
    <w:rsid w:val="04AC58C3"/>
    <w:rsid w:val="04CB7023"/>
    <w:rsid w:val="04D408A8"/>
    <w:rsid w:val="04D50444"/>
    <w:rsid w:val="04EF57D0"/>
    <w:rsid w:val="05193093"/>
    <w:rsid w:val="0549505D"/>
    <w:rsid w:val="0558566E"/>
    <w:rsid w:val="055C3A8F"/>
    <w:rsid w:val="055D609F"/>
    <w:rsid w:val="05705086"/>
    <w:rsid w:val="057626F8"/>
    <w:rsid w:val="05876931"/>
    <w:rsid w:val="058A11A9"/>
    <w:rsid w:val="05B955F4"/>
    <w:rsid w:val="05CD6A91"/>
    <w:rsid w:val="05E45C2A"/>
    <w:rsid w:val="06492A44"/>
    <w:rsid w:val="064D119D"/>
    <w:rsid w:val="06584679"/>
    <w:rsid w:val="06632718"/>
    <w:rsid w:val="067C0116"/>
    <w:rsid w:val="068B7572"/>
    <w:rsid w:val="068C3C3F"/>
    <w:rsid w:val="069070F5"/>
    <w:rsid w:val="06C9184A"/>
    <w:rsid w:val="06F37072"/>
    <w:rsid w:val="074909DA"/>
    <w:rsid w:val="075B5561"/>
    <w:rsid w:val="078030E2"/>
    <w:rsid w:val="07822DB8"/>
    <w:rsid w:val="078A74A5"/>
    <w:rsid w:val="078B599A"/>
    <w:rsid w:val="07923BDD"/>
    <w:rsid w:val="07950914"/>
    <w:rsid w:val="07B43DE6"/>
    <w:rsid w:val="07BF6A1D"/>
    <w:rsid w:val="08527D81"/>
    <w:rsid w:val="085C2D8B"/>
    <w:rsid w:val="086E480E"/>
    <w:rsid w:val="088D163F"/>
    <w:rsid w:val="08B84D38"/>
    <w:rsid w:val="08C26432"/>
    <w:rsid w:val="08C95E37"/>
    <w:rsid w:val="09003E71"/>
    <w:rsid w:val="092F548B"/>
    <w:rsid w:val="093F4EA4"/>
    <w:rsid w:val="094654DF"/>
    <w:rsid w:val="09624326"/>
    <w:rsid w:val="098C042F"/>
    <w:rsid w:val="099C20C8"/>
    <w:rsid w:val="09BE7301"/>
    <w:rsid w:val="09D23E2C"/>
    <w:rsid w:val="0A6C6624"/>
    <w:rsid w:val="0A817022"/>
    <w:rsid w:val="0A9E6A35"/>
    <w:rsid w:val="0ABE4827"/>
    <w:rsid w:val="0ACD5BC8"/>
    <w:rsid w:val="0B010482"/>
    <w:rsid w:val="0B225FF3"/>
    <w:rsid w:val="0B2A05CB"/>
    <w:rsid w:val="0B3F0D82"/>
    <w:rsid w:val="0B456BD2"/>
    <w:rsid w:val="0B6A7A52"/>
    <w:rsid w:val="0B8054B4"/>
    <w:rsid w:val="0B9D3AE6"/>
    <w:rsid w:val="0BC00648"/>
    <w:rsid w:val="0BD004AB"/>
    <w:rsid w:val="0BD158E9"/>
    <w:rsid w:val="0BE278BB"/>
    <w:rsid w:val="0BF60972"/>
    <w:rsid w:val="0BFA7120"/>
    <w:rsid w:val="0C013E7A"/>
    <w:rsid w:val="0C326E8E"/>
    <w:rsid w:val="0C3D286D"/>
    <w:rsid w:val="0C594683"/>
    <w:rsid w:val="0C655F04"/>
    <w:rsid w:val="0CA36680"/>
    <w:rsid w:val="0CD742F8"/>
    <w:rsid w:val="0CFB0D0E"/>
    <w:rsid w:val="0D0C16B2"/>
    <w:rsid w:val="0D133CA0"/>
    <w:rsid w:val="0D3471DB"/>
    <w:rsid w:val="0D4E2C10"/>
    <w:rsid w:val="0D5C6DBF"/>
    <w:rsid w:val="0D685B19"/>
    <w:rsid w:val="0D924001"/>
    <w:rsid w:val="0D94286A"/>
    <w:rsid w:val="0D9C5FC0"/>
    <w:rsid w:val="0DA45E8A"/>
    <w:rsid w:val="0DB061A6"/>
    <w:rsid w:val="0DB27E46"/>
    <w:rsid w:val="0E414B35"/>
    <w:rsid w:val="0E48561B"/>
    <w:rsid w:val="0E68281A"/>
    <w:rsid w:val="0E77575E"/>
    <w:rsid w:val="0E8F5211"/>
    <w:rsid w:val="0EC025B6"/>
    <w:rsid w:val="0ECF0A3F"/>
    <w:rsid w:val="0EF0155D"/>
    <w:rsid w:val="0F40035E"/>
    <w:rsid w:val="0F420206"/>
    <w:rsid w:val="0F555E91"/>
    <w:rsid w:val="0F7E582E"/>
    <w:rsid w:val="0F9D474E"/>
    <w:rsid w:val="0FB55BCA"/>
    <w:rsid w:val="0FCA5BFA"/>
    <w:rsid w:val="0FCB3F40"/>
    <w:rsid w:val="0FE37F39"/>
    <w:rsid w:val="0FF95A4D"/>
    <w:rsid w:val="101A282C"/>
    <w:rsid w:val="10203C21"/>
    <w:rsid w:val="10216E12"/>
    <w:rsid w:val="1056354F"/>
    <w:rsid w:val="1058277E"/>
    <w:rsid w:val="109E4B1A"/>
    <w:rsid w:val="10A56F27"/>
    <w:rsid w:val="10E63820"/>
    <w:rsid w:val="10F369D1"/>
    <w:rsid w:val="11060FB9"/>
    <w:rsid w:val="11146126"/>
    <w:rsid w:val="111622AE"/>
    <w:rsid w:val="11496B75"/>
    <w:rsid w:val="115E20DA"/>
    <w:rsid w:val="116046AB"/>
    <w:rsid w:val="11664948"/>
    <w:rsid w:val="117912CF"/>
    <w:rsid w:val="11AE63B8"/>
    <w:rsid w:val="11B06F76"/>
    <w:rsid w:val="11BD6896"/>
    <w:rsid w:val="11D52E3B"/>
    <w:rsid w:val="11E15CB8"/>
    <w:rsid w:val="11E6678C"/>
    <w:rsid w:val="11FB2C18"/>
    <w:rsid w:val="120215FA"/>
    <w:rsid w:val="121412B8"/>
    <w:rsid w:val="12232E94"/>
    <w:rsid w:val="122512CC"/>
    <w:rsid w:val="12297209"/>
    <w:rsid w:val="126530C0"/>
    <w:rsid w:val="127A67D9"/>
    <w:rsid w:val="12AB5146"/>
    <w:rsid w:val="12C422A1"/>
    <w:rsid w:val="13030175"/>
    <w:rsid w:val="13363342"/>
    <w:rsid w:val="13695B0F"/>
    <w:rsid w:val="136C3497"/>
    <w:rsid w:val="137112CC"/>
    <w:rsid w:val="138F18F8"/>
    <w:rsid w:val="13B57B91"/>
    <w:rsid w:val="13B66109"/>
    <w:rsid w:val="13CF11CE"/>
    <w:rsid w:val="13D71309"/>
    <w:rsid w:val="13E36F08"/>
    <w:rsid w:val="13E53539"/>
    <w:rsid w:val="13EB4D3C"/>
    <w:rsid w:val="141C66E9"/>
    <w:rsid w:val="14527148"/>
    <w:rsid w:val="14585EE5"/>
    <w:rsid w:val="146A4B93"/>
    <w:rsid w:val="14763198"/>
    <w:rsid w:val="14B457B4"/>
    <w:rsid w:val="14B87CFF"/>
    <w:rsid w:val="14C415B9"/>
    <w:rsid w:val="14C471A6"/>
    <w:rsid w:val="14D16EB6"/>
    <w:rsid w:val="14D533DF"/>
    <w:rsid w:val="150E066F"/>
    <w:rsid w:val="1566037D"/>
    <w:rsid w:val="156F2B87"/>
    <w:rsid w:val="159A1A03"/>
    <w:rsid w:val="15EA626F"/>
    <w:rsid w:val="15EC50CB"/>
    <w:rsid w:val="16136A9B"/>
    <w:rsid w:val="162E66A5"/>
    <w:rsid w:val="16595D10"/>
    <w:rsid w:val="165A0D70"/>
    <w:rsid w:val="16BD0F2B"/>
    <w:rsid w:val="17031EFB"/>
    <w:rsid w:val="17295E37"/>
    <w:rsid w:val="174D11D8"/>
    <w:rsid w:val="175111B0"/>
    <w:rsid w:val="1769733A"/>
    <w:rsid w:val="1788015A"/>
    <w:rsid w:val="17991C8E"/>
    <w:rsid w:val="17C5723F"/>
    <w:rsid w:val="17CB67CB"/>
    <w:rsid w:val="181237D3"/>
    <w:rsid w:val="1849592B"/>
    <w:rsid w:val="18677E6A"/>
    <w:rsid w:val="186E20C4"/>
    <w:rsid w:val="18794E10"/>
    <w:rsid w:val="18902EB0"/>
    <w:rsid w:val="18AC0882"/>
    <w:rsid w:val="18E7306B"/>
    <w:rsid w:val="18F409E7"/>
    <w:rsid w:val="19110A1E"/>
    <w:rsid w:val="192A5953"/>
    <w:rsid w:val="192F69BE"/>
    <w:rsid w:val="1961062A"/>
    <w:rsid w:val="19987F0F"/>
    <w:rsid w:val="19D339CB"/>
    <w:rsid w:val="1A0E38FD"/>
    <w:rsid w:val="1A2571E5"/>
    <w:rsid w:val="1A36356D"/>
    <w:rsid w:val="1A382490"/>
    <w:rsid w:val="1A455D74"/>
    <w:rsid w:val="1A4F4887"/>
    <w:rsid w:val="1A6253ED"/>
    <w:rsid w:val="1A6E324A"/>
    <w:rsid w:val="1AA6628E"/>
    <w:rsid w:val="1ABB76FE"/>
    <w:rsid w:val="1AC30484"/>
    <w:rsid w:val="1ACC1870"/>
    <w:rsid w:val="1ACE5537"/>
    <w:rsid w:val="1B1934EA"/>
    <w:rsid w:val="1B5E79BE"/>
    <w:rsid w:val="1B8037D5"/>
    <w:rsid w:val="1BAB6FD4"/>
    <w:rsid w:val="1BC47421"/>
    <w:rsid w:val="1BEA5D4D"/>
    <w:rsid w:val="1C063420"/>
    <w:rsid w:val="1C275144"/>
    <w:rsid w:val="1C3A3FA2"/>
    <w:rsid w:val="1C6C01C5"/>
    <w:rsid w:val="1C78183F"/>
    <w:rsid w:val="1C831747"/>
    <w:rsid w:val="1CA87EF6"/>
    <w:rsid w:val="1CDE349A"/>
    <w:rsid w:val="1CE84F89"/>
    <w:rsid w:val="1CF245BD"/>
    <w:rsid w:val="1D1241A7"/>
    <w:rsid w:val="1D1F0F76"/>
    <w:rsid w:val="1D4E4E61"/>
    <w:rsid w:val="1D82490D"/>
    <w:rsid w:val="1D8D61A6"/>
    <w:rsid w:val="1DBA0E06"/>
    <w:rsid w:val="1DC006BA"/>
    <w:rsid w:val="1DC15797"/>
    <w:rsid w:val="1DCC695C"/>
    <w:rsid w:val="1DDF0BA9"/>
    <w:rsid w:val="1E2C6A77"/>
    <w:rsid w:val="1E5326EA"/>
    <w:rsid w:val="1E8D43AE"/>
    <w:rsid w:val="1E9332A8"/>
    <w:rsid w:val="1EB95019"/>
    <w:rsid w:val="1EBD035F"/>
    <w:rsid w:val="1EC631AE"/>
    <w:rsid w:val="1ED83CEA"/>
    <w:rsid w:val="1EE83106"/>
    <w:rsid w:val="1EFD39F2"/>
    <w:rsid w:val="1F1F026F"/>
    <w:rsid w:val="1F291049"/>
    <w:rsid w:val="1F2B20EC"/>
    <w:rsid w:val="1F3A28D2"/>
    <w:rsid w:val="1F3B5DF3"/>
    <w:rsid w:val="1F592070"/>
    <w:rsid w:val="1F592935"/>
    <w:rsid w:val="1F752819"/>
    <w:rsid w:val="1F832D0A"/>
    <w:rsid w:val="1FAA2644"/>
    <w:rsid w:val="1FC53207"/>
    <w:rsid w:val="1FC71A30"/>
    <w:rsid w:val="1FEB6117"/>
    <w:rsid w:val="201309B4"/>
    <w:rsid w:val="203212E2"/>
    <w:rsid w:val="203A74C8"/>
    <w:rsid w:val="2047534F"/>
    <w:rsid w:val="206F75F4"/>
    <w:rsid w:val="207D3C6D"/>
    <w:rsid w:val="20A31EF0"/>
    <w:rsid w:val="20A411F4"/>
    <w:rsid w:val="20B22880"/>
    <w:rsid w:val="20D068D2"/>
    <w:rsid w:val="20E32006"/>
    <w:rsid w:val="21012080"/>
    <w:rsid w:val="21261367"/>
    <w:rsid w:val="212838C0"/>
    <w:rsid w:val="21377EAE"/>
    <w:rsid w:val="214004BC"/>
    <w:rsid w:val="2151708C"/>
    <w:rsid w:val="21592000"/>
    <w:rsid w:val="21747382"/>
    <w:rsid w:val="21837305"/>
    <w:rsid w:val="218E5381"/>
    <w:rsid w:val="218F4AAC"/>
    <w:rsid w:val="21D05CDC"/>
    <w:rsid w:val="22021378"/>
    <w:rsid w:val="22645425"/>
    <w:rsid w:val="2271677B"/>
    <w:rsid w:val="227C4776"/>
    <w:rsid w:val="227C61C9"/>
    <w:rsid w:val="227F415C"/>
    <w:rsid w:val="22A81BDC"/>
    <w:rsid w:val="22A82C2F"/>
    <w:rsid w:val="22B06271"/>
    <w:rsid w:val="22BC6098"/>
    <w:rsid w:val="22E03076"/>
    <w:rsid w:val="22F166C6"/>
    <w:rsid w:val="23650807"/>
    <w:rsid w:val="23760C6F"/>
    <w:rsid w:val="23AE3525"/>
    <w:rsid w:val="23FC1E12"/>
    <w:rsid w:val="24646504"/>
    <w:rsid w:val="24AA1F31"/>
    <w:rsid w:val="24AD3E3A"/>
    <w:rsid w:val="24C07AC0"/>
    <w:rsid w:val="24C4410F"/>
    <w:rsid w:val="24C52CBA"/>
    <w:rsid w:val="24D446BA"/>
    <w:rsid w:val="24DB038F"/>
    <w:rsid w:val="25285AFF"/>
    <w:rsid w:val="254C0F6F"/>
    <w:rsid w:val="25731F22"/>
    <w:rsid w:val="257A15F3"/>
    <w:rsid w:val="25803727"/>
    <w:rsid w:val="25B10E75"/>
    <w:rsid w:val="26291984"/>
    <w:rsid w:val="2631213E"/>
    <w:rsid w:val="2650297B"/>
    <w:rsid w:val="265763A6"/>
    <w:rsid w:val="265F4AC1"/>
    <w:rsid w:val="26CD2092"/>
    <w:rsid w:val="26E62166"/>
    <w:rsid w:val="26FA224E"/>
    <w:rsid w:val="2712465D"/>
    <w:rsid w:val="271E26A7"/>
    <w:rsid w:val="274A509E"/>
    <w:rsid w:val="274B7259"/>
    <w:rsid w:val="2769759E"/>
    <w:rsid w:val="279100E8"/>
    <w:rsid w:val="27B81A07"/>
    <w:rsid w:val="27D8710D"/>
    <w:rsid w:val="27F60719"/>
    <w:rsid w:val="28173CF2"/>
    <w:rsid w:val="288651B4"/>
    <w:rsid w:val="289812B7"/>
    <w:rsid w:val="28BD2977"/>
    <w:rsid w:val="28CD55BD"/>
    <w:rsid w:val="28FD0E81"/>
    <w:rsid w:val="29067E71"/>
    <w:rsid w:val="290D0CAF"/>
    <w:rsid w:val="292E6EA5"/>
    <w:rsid w:val="294622C9"/>
    <w:rsid w:val="294D74E6"/>
    <w:rsid w:val="297938EE"/>
    <w:rsid w:val="2991106C"/>
    <w:rsid w:val="29C82B3D"/>
    <w:rsid w:val="29D35D57"/>
    <w:rsid w:val="29E706C0"/>
    <w:rsid w:val="29F376E1"/>
    <w:rsid w:val="2A096806"/>
    <w:rsid w:val="2A2A60CC"/>
    <w:rsid w:val="2A2F09A3"/>
    <w:rsid w:val="2A4F65F2"/>
    <w:rsid w:val="2A621E14"/>
    <w:rsid w:val="2A701DAC"/>
    <w:rsid w:val="2A78008F"/>
    <w:rsid w:val="2AA44C71"/>
    <w:rsid w:val="2ABF6565"/>
    <w:rsid w:val="2AC109F1"/>
    <w:rsid w:val="2AD35392"/>
    <w:rsid w:val="2B2236C4"/>
    <w:rsid w:val="2B677BF1"/>
    <w:rsid w:val="2B7B1284"/>
    <w:rsid w:val="2BA16324"/>
    <w:rsid w:val="2BC44843"/>
    <w:rsid w:val="2C0F353A"/>
    <w:rsid w:val="2C222606"/>
    <w:rsid w:val="2C2B5D19"/>
    <w:rsid w:val="2C5D6F0E"/>
    <w:rsid w:val="2C6930DA"/>
    <w:rsid w:val="2C807EFE"/>
    <w:rsid w:val="2CDA2079"/>
    <w:rsid w:val="2CF10DD7"/>
    <w:rsid w:val="2CF21419"/>
    <w:rsid w:val="2D0041CD"/>
    <w:rsid w:val="2D020571"/>
    <w:rsid w:val="2D036A3D"/>
    <w:rsid w:val="2D121F2D"/>
    <w:rsid w:val="2D253F6A"/>
    <w:rsid w:val="2D494F78"/>
    <w:rsid w:val="2D7C40EE"/>
    <w:rsid w:val="2D8B741F"/>
    <w:rsid w:val="2D8D70B3"/>
    <w:rsid w:val="2D9758DD"/>
    <w:rsid w:val="2D9823FC"/>
    <w:rsid w:val="2DA01316"/>
    <w:rsid w:val="2DAE6105"/>
    <w:rsid w:val="2DF821E5"/>
    <w:rsid w:val="2E211DB8"/>
    <w:rsid w:val="2E293A3C"/>
    <w:rsid w:val="2E3A6570"/>
    <w:rsid w:val="2E5A03D4"/>
    <w:rsid w:val="2E5D1A4C"/>
    <w:rsid w:val="2E661DC9"/>
    <w:rsid w:val="2EB12C2B"/>
    <w:rsid w:val="2EC01466"/>
    <w:rsid w:val="2EDB0C04"/>
    <w:rsid w:val="2EF16450"/>
    <w:rsid w:val="2F0917A3"/>
    <w:rsid w:val="2F116797"/>
    <w:rsid w:val="2F2916C7"/>
    <w:rsid w:val="2F3460FD"/>
    <w:rsid w:val="2F5342FE"/>
    <w:rsid w:val="2F58755E"/>
    <w:rsid w:val="2F6354ED"/>
    <w:rsid w:val="2FB66518"/>
    <w:rsid w:val="2FC817D5"/>
    <w:rsid w:val="2FD829B8"/>
    <w:rsid w:val="2FE04752"/>
    <w:rsid w:val="2FE575A9"/>
    <w:rsid w:val="301F672A"/>
    <w:rsid w:val="30333960"/>
    <w:rsid w:val="30350DE0"/>
    <w:rsid w:val="30387394"/>
    <w:rsid w:val="30517CFD"/>
    <w:rsid w:val="30645559"/>
    <w:rsid w:val="30710E1B"/>
    <w:rsid w:val="30B76558"/>
    <w:rsid w:val="30C33EB1"/>
    <w:rsid w:val="30FE0CF0"/>
    <w:rsid w:val="310574E9"/>
    <w:rsid w:val="3107353A"/>
    <w:rsid w:val="311F2866"/>
    <w:rsid w:val="3135057E"/>
    <w:rsid w:val="3146373B"/>
    <w:rsid w:val="31560BB4"/>
    <w:rsid w:val="31592B9F"/>
    <w:rsid w:val="31636C29"/>
    <w:rsid w:val="31710062"/>
    <w:rsid w:val="31904FA4"/>
    <w:rsid w:val="31CA3D94"/>
    <w:rsid w:val="31D519BD"/>
    <w:rsid w:val="32413A64"/>
    <w:rsid w:val="32543E81"/>
    <w:rsid w:val="32870646"/>
    <w:rsid w:val="328E6D2B"/>
    <w:rsid w:val="32E43740"/>
    <w:rsid w:val="32FA34C8"/>
    <w:rsid w:val="33183423"/>
    <w:rsid w:val="332344F5"/>
    <w:rsid w:val="332A3F68"/>
    <w:rsid w:val="334D03AF"/>
    <w:rsid w:val="33742CF9"/>
    <w:rsid w:val="33782034"/>
    <w:rsid w:val="3385599E"/>
    <w:rsid w:val="33A14927"/>
    <w:rsid w:val="33C37DC7"/>
    <w:rsid w:val="33E36DAA"/>
    <w:rsid w:val="33EB65C8"/>
    <w:rsid w:val="33ED7895"/>
    <w:rsid w:val="33EF04A8"/>
    <w:rsid w:val="33F924A1"/>
    <w:rsid w:val="34025D0B"/>
    <w:rsid w:val="34173207"/>
    <w:rsid w:val="344B632C"/>
    <w:rsid w:val="34724743"/>
    <w:rsid w:val="34752925"/>
    <w:rsid w:val="3490705E"/>
    <w:rsid w:val="349768C5"/>
    <w:rsid w:val="34B95429"/>
    <w:rsid w:val="34BF76F3"/>
    <w:rsid w:val="34C445B7"/>
    <w:rsid w:val="34DE054E"/>
    <w:rsid w:val="35034DBE"/>
    <w:rsid w:val="350D6D40"/>
    <w:rsid w:val="352E3829"/>
    <w:rsid w:val="354145C8"/>
    <w:rsid w:val="35434924"/>
    <w:rsid w:val="35465435"/>
    <w:rsid w:val="3549143F"/>
    <w:rsid w:val="355B0C3D"/>
    <w:rsid w:val="35690A2C"/>
    <w:rsid w:val="356C685C"/>
    <w:rsid w:val="35B86D2B"/>
    <w:rsid w:val="35C61FB6"/>
    <w:rsid w:val="35D80BEB"/>
    <w:rsid w:val="35F539A5"/>
    <w:rsid w:val="36174B80"/>
    <w:rsid w:val="36277202"/>
    <w:rsid w:val="364559F1"/>
    <w:rsid w:val="365D7374"/>
    <w:rsid w:val="367D4F9A"/>
    <w:rsid w:val="36854DE1"/>
    <w:rsid w:val="36921CC4"/>
    <w:rsid w:val="36F739BC"/>
    <w:rsid w:val="37520B96"/>
    <w:rsid w:val="37611252"/>
    <w:rsid w:val="37733F9F"/>
    <w:rsid w:val="377A196F"/>
    <w:rsid w:val="37952602"/>
    <w:rsid w:val="37AF5944"/>
    <w:rsid w:val="37E952B1"/>
    <w:rsid w:val="38056016"/>
    <w:rsid w:val="381F43AA"/>
    <w:rsid w:val="38232B5D"/>
    <w:rsid w:val="383007C6"/>
    <w:rsid w:val="386327BF"/>
    <w:rsid w:val="389612B7"/>
    <w:rsid w:val="38A02E06"/>
    <w:rsid w:val="38B33BFA"/>
    <w:rsid w:val="38CD0AB7"/>
    <w:rsid w:val="38CE0AEF"/>
    <w:rsid w:val="38E16EBA"/>
    <w:rsid w:val="390D4106"/>
    <w:rsid w:val="39316325"/>
    <w:rsid w:val="396F0F6F"/>
    <w:rsid w:val="39A46F79"/>
    <w:rsid w:val="39C04699"/>
    <w:rsid w:val="39C91A4B"/>
    <w:rsid w:val="39DA1650"/>
    <w:rsid w:val="39E6533E"/>
    <w:rsid w:val="39F50E40"/>
    <w:rsid w:val="3A0F2027"/>
    <w:rsid w:val="3A10219C"/>
    <w:rsid w:val="3A20771E"/>
    <w:rsid w:val="3A2308B3"/>
    <w:rsid w:val="3A4366AD"/>
    <w:rsid w:val="3A441890"/>
    <w:rsid w:val="3A804915"/>
    <w:rsid w:val="3A9439C0"/>
    <w:rsid w:val="3A9D53F9"/>
    <w:rsid w:val="3ABC65B2"/>
    <w:rsid w:val="3AD7581F"/>
    <w:rsid w:val="3AE1796C"/>
    <w:rsid w:val="3AFE72F1"/>
    <w:rsid w:val="3B094C06"/>
    <w:rsid w:val="3B1C6F5F"/>
    <w:rsid w:val="3B307003"/>
    <w:rsid w:val="3B3741DD"/>
    <w:rsid w:val="3B4F50BA"/>
    <w:rsid w:val="3B8316C7"/>
    <w:rsid w:val="3B965793"/>
    <w:rsid w:val="3BA8736D"/>
    <w:rsid w:val="3BBB4AA7"/>
    <w:rsid w:val="3BBB5060"/>
    <w:rsid w:val="3BE06BE7"/>
    <w:rsid w:val="3C0325A0"/>
    <w:rsid w:val="3C03546E"/>
    <w:rsid w:val="3C0677C7"/>
    <w:rsid w:val="3C0B677D"/>
    <w:rsid w:val="3C281698"/>
    <w:rsid w:val="3C40649F"/>
    <w:rsid w:val="3C604395"/>
    <w:rsid w:val="3C8B4CA1"/>
    <w:rsid w:val="3C947A70"/>
    <w:rsid w:val="3CAC4E3A"/>
    <w:rsid w:val="3CB045E7"/>
    <w:rsid w:val="3CBD5BA4"/>
    <w:rsid w:val="3CC64DB9"/>
    <w:rsid w:val="3CD21DA1"/>
    <w:rsid w:val="3CE81D8C"/>
    <w:rsid w:val="3D245A55"/>
    <w:rsid w:val="3D714CC3"/>
    <w:rsid w:val="3DA53D16"/>
    <w:rsid w:val="3DFE08DD"/>
    <w:rsid w:val="3E597B14"/>
    <w:rsid w:val="3E9A177C"/>
    <w:rsid w:val="3E9A5C13"/>
    <w:rsid w:val="3EC357E4"/>
    <w:rsid w:val="3EEC3260"/>
    <w:rsid w:val="3F2D05E0"/>
    <w:rsid w:val="3F4A50E2"/>
    <w:rsid w:val="3F5932CD"/>
    <w:rsid w:val="3FD56DD8"/>
    <w:rsid w:val="400F62C0"/>
    <w:rsid w:val="401F3004"/>
    <w:rsid w:val="40265EE4"/>
    <w:rsid w:val="4041429A"/>
    <w:rsid w:val="40415A47"/>
    <w:rsid w:val="40822279"/>
    <w:rsid w:val="408508F2"/>
    <w:rsid w:val="409358F0"/>
    <w:rsid w:val="40D12C16"/>
    <w:rsid w:val="40D16219"/>
    <w:rsid w:val="40E91391"/>
    <w:rsid w:val="40F12DDE"/>
    <w:rsid w:val="41014A1C"/>
    <w:rsid w:val="41052E3D"/>
    <w:rsid w:val="41081DED"/>
    <w:rsid w:val="410B708E"/>
    <w:rsid w:val="411739B5"/>
    <w:rsid w:val="41681BD9"/>
    <w:rsid w:val="41BA3F01"/>
    <w:rsid w:val="41F20F74"/>
    <w:rsid w:val="4203455E"/>
    <w:rsid w:val="42197F40"/>
    <w:rsid w:val="423F1C69"/>
    <w:rsid w:val="42724BFB"/>
    <w:rsid w:val="428B7966"/>
    <w:rsid w:val="42CB4754"/>
    <w:rsid w:val="42DB24E9"/>
    <w:rsid w:val="43064292"/>
    <w:rsid w:val="433D5767"/>
    <w:rsid w:val="434D6F45"/>
    <w:rsid w:val="435A7989"/>
    <w:rsid w:val="436E3870"/>
    <w:rsid w:val="437A3223"/>
    <w:rsid w:val="4389194E"/>
    <w:rsid w:val="438D645D"/>
    <w:rsid w:val="43A86E0B"/>
    <w:rsid w:val="43E40E35"/>
    <w:rsid w:val="441A3B93"/>
    <w:rsid w:val="441D1061"/>
    <w:rsid w:val="44360591"/>
    <w:rsid w:val="443B2666"/>
    <w:rsid w:val="44434687"/>
    <w:rsid w:val="444E4082"/>
    <w:rsid w:val="44603EA0"/>
    <w:rsid w:val="44856EF0"/>
    <w:rsid w:val="44A02E2A"/>
    <w:rsid w:val="450C492E"/>
    <w:rsid w:val="450F394C"/>
    <w:rsid w:val="452F16A8"/>
    <w:rsid w:val="4531303E"/>
    <w:rsid w:val="45650EEB"/>
    <w:rsid w:val="4598033B"/>
    <w:rsid w:val="45BF041E"/>
    <w:rsid w:val="45CA6B8C"/>
    <w:rsid w:val="45E44BFF"/>
    <w:rsid w:val="45E6287D"/>
    <w:rsid w:val="46022D3D"/>
    <w:rsid w:val="460D7005"/>
    <w:rsid w:val="46352734"/>
    <w:rsid w:val="46476FAA"/>
    <w:rsid w:val="466A56D1"/>
    <w:rsid w:val="46792E9A"/>
    <w:rsid w:val="467B0263"/>
    <w:rsid w:val="46983445"/>
    <w:rsid w:val="46A20C90"/>
    <w:rsid w:val="46AE67D0"/>
    <w:rsid w:val="46EA17F3"/>
    <w:rsid w:val="470A7FD2"/>
    <w:rsid w:val="472736C2"/>
    <w:rsid w:val="47286E03"/>
    <w:rsid w:val="47321977"/>
    <w:rsid w:val="47335407"/>
    <w:rsid w:val="4733556D"/>
    <w:rsid w:val="474E7F9D"/>
    <w:rsid w:val="4752432A"/>
    <w:rsid w:val="47550CEE"/>
    <w:rsid w:val="47735B4D"/>
    <w:rsid w:val="478D67CE"/>
    <w:rsid w:val="478E13B2"/>
    <w:rsid w:val="47940994"/>
    <w:rsid w:val="47946151"/>
    <w:rsid w:val="479A10E6"/>
    <w:rsid w:val="47A61E46"/>
    <w:rsid w:val="47B6106F"/>
    <w:rsid w:val="47CC0FEE"/>
    <w:rsid w:val="47DA1406"/>
    <w:rsid w:val="47F1222D"/>
    <w:rsid w:val="483B4302"/>
    <w:rsid w:val="48484DB3"/>
    <w:rsid w:val="48556DC9"/>
    <w:rsid w:val="48A37F2A"/>
    <w:rsid w:val="48B46493"/>
    <w:rsid w:val="490376AC"/>
    <w:rsid w:val="49211E1B"/>
    <w:rsid w:val="4939123F"/>
    <w:rsid w:val="4966461E"/>
    <w:rsid w:val="496F5372"/>
    <w:rsid w:val="49701B61"/>
    <w:rsid w:val="49A84F42"/>
    <w:rsid w:val="49DE7360"/>
    <w:rsid w:val="4A015C4F"/>
    <w:rsid w:val="4A0D227B"/>
    <w:rsid w:val="4A1D7CF7"/>
    <w:rsid w:val="4A2D5C6A"/>
    <w:rsid w:val="4A43745D"/>
    <w:rsid w:val="4A6812DE"/>
    <w:rsid w:val="4A710A8F"/>
    <w:rsid w:val="4A7E5FA5"/>
    <w:rsid w:val="4AD93A9A"/>
    <w:rsid w:val="4B4B31D8"/>
    <w:rsid w:val="4B4D7AA5"/>
    <w:rsid w:val="4B580AA3"/>
    <w:rsid w:val="4B8A79F7"/>
    <w:rsid w:val="4BC24F65"/>
    <w:rsid w:val="4BC541E3"/>
    <w:rsid w:val="4BD17304"/>
    <w:rsid w:val="4BD5537E"/>
    <w:rsid w:val="4BF85799"/>
    <w:rsid w:val="4BFD7A3C"/>
    <w:rsid w:val="4C227440"/>
    <w:rsid w:val="4C3B1363"/>
    <w:rsid w:val="4C491C6C"/>
    <w:rsid w:val="4C591023"/>
    <w:rsid w:val="4D240432"/>
    <w:rsid w:val="4D972D35"/>
    <w:rsid w:val="4DCC4DBE"/>
    <w:rsid w:val="4DCD0DBA"/>
    <w:rsid w:val="4DCD6201"/>
    <w:rsid w:val="4DCE09E4"/>
    <w:rsid w:val="4DD07B7F"/>
    <w:rsid w:val="4DF66CDF"/>
    <w:rsid w:val="4DF929A4"/>
    <w:rsid w:val="4DFB683B"/>
    <w:rsid w:val="4E256CBD"/>
    <w:rsid w:val="4E287734"/>
    <w:rsid w:val="4E575077"/>
    <w:rsid w:val="4E6558AB"/>
    <w:rsid w:val="4E700271"/>
    <w:rsid w:val="4E882D61"/>
    <w:rsid w:val="4E905991"/>
    <w:rsid w:val="4EA55C29"/>
    <w:rsid w:val="4EAB6C93"/>
    <w:rsid w:val="4EBF76F1"/>
    <w:rsid w:val="4ECD43F8"/>
    <w:rsid w:val="4EDB1D1C"/>
    <w:rsid w:val="4EFE45A5"/>
    <w:rsid w:val="4F076C2F"/>
    <w:rsid w:val="4F0A228E"/>
    <w:rsid w:val="4F0F14E0"/>
    <w:rsid w:val="4F110836"/>
    <w:rsid w:val="4F302F79"/>
    <w:rsid w:val="4F4344D2"/>
    <w:rsid w:val="4F4E06B4"/>
    <w:rsid w:val="4F5C1F08"/>
    <w:rsid w:val="4F7424C4"/>
    <w:rsid w:val="4F7C137A"/>
    <w:rsid w:val="4F9064A1"/>
    <w:rsid w:val="4F962C15"/>
    <w:rsid w:val="4FD013AE"/>
    <w:rsid w:val="4FE72FE0"/>
    <w:rsid w:val="506E137E"/>
    <w:rsid w:val="506E207D"/>
    <w:rsid w:val="508F0EB9"/>
    <w:rsid w:val="5093457A"/>
    <w:rsid w:val="509904DD"/>
    <w:rsid w:val="50AF148F"/>
    <w:rsid w:val="50EB647F"/>
    <w:rsid w:val="50F07308"/>
    <w:rsid w:val="5114509C"/>
    <w:rsid w:val="51344B96"/>
    <w:rsid w:val="51450414"/>
    <w:rsid w:val="514812D4"/>
    <w:rsid w:val="515E2727"/>
    <w:rsid w:val="51665BAD"/>
    <w:rsid w:val="51831779"/>
    <w:rsid w:val="519A5579"/>
    <w:rsid w:val="51A67E50"/>
    <w:rsid w:val="51AF7073"/>
    <w:rsid w:val="51E47DDD"/>
    <w:rsid w:val="52005309"/>
    <w:rsid w:val="525B0691"/>
    <w:rsid w:val="52616E81"/>
    <w:rsid w:val="52690188"/>
    <w:rsid w:val="528C1667"/>
    <w:rsid w:val="52A87476"/>
    <w:rsid w:val="52B24724"/>
    <w:rsid w:val="52CF6842"/>
    <w:rsid w:val="52EA71AC"/>
    <w:rsid w:val="52EF16D0"/>
    <w:rsid w:val="52FF5D02"/>
    <w:rsid w:val="53076371"/>
    <w:rsid w:val="532F07BD"/>
    <w:rsid w:val="53397DC3"/>
    <w:rsid w:val="533C58E9"/>
    <w:rsid w:val="53552D25"/>
    <w:rsid w:val="535B6F2F"/>
    <w:rsid w:val="536B5D46"/>
    <w:rsid w:val="536D6F80"/>
    <w:rsid w:val="537C418D"/>
    <w:rsid w:val="538D2FC3"/>
    <w:rsid w:val="53DB4029"/>
    <w:rsid w:val="53E12E08"/>
    <w:rsid w:val="53E13595"/>
    <w:rsid w:val="540A1C67"/>
    <w:rsid w:val="540C63A6"/>
    <w:rsid w:val="5428451E"/>
    <w:rsid w:val="543E2684"/>
    <w:rsid w:val="544555DA"/>
    <w:rsid w:val="545B1B8B"/>
    <w:rsid w:val="5462206E"/>
    <w:rsid w:val="5479041B"/>
    <w:rsid w:val="547B73F5"/>
    <w:rsid w:val="54B82931"/>
    <w:rsid w:val="54DA7842"/>
    <w:rsid w:val="54ED3977"/>
    <w:rsid w:val="5510764B"/>
    <w:rsid w:val="55206696"/>
    <w:rsid w:val="55207ED1"/>
    <w:rsid w:val="553F055B"/>
    <w:rsid w:val="556058C7"/>
    <w:rsid w:val="55850168"/>
    <w:rsid w:val="55877026"/>
    <w:rsid w:val="55C61DDD"/>
    <w:rsid w:val="55E04E96"/>
    <w:rsid w:val="55F322C5"/>
    <w:rsid w:val="5633736B"/>
    <w:rsid w:val="56734A0A"/>
    <w:rsid w:val="56944012"/>
    <w:rsid w:val="569D5897"/>
    <w:rsid w:val="56C454E4"/>
    <w:rsid w:val="56D72F1A"/>
    <w:rsid w:val="56E64717"/>
    <w:rsid w:val="56F74EEC"/>
    <w:rsid w:val="56F91133"/>
    <w:rsid w:val="56FF7F9A"/>
    <w:rsid w:val="575461F7"/>
    <w:rsid w:val="576E366D"/>
    <w:rsid w:val="579B1B61"/>
    <w:rsid w:val="57B56306"/>
    <w:rsid w:val="57F309F5"/>
    <w:rsid w:val="57FA760D"/>
    <w:rsid w:val="580C3A63"/>
    <w:rsid w:val="580C6858"/>
    <w:rsid w:val="583341D7"/>
    <w:rsid w:val="584F2F05"/>
    <w:rsid w:val="587E53CA"/>
    <w:rsid w:val="58910A00"/>
    <w:rsid w:val="58D069C8"/>
    <w:rsid w:val="58DA7B15"/>
    <w:rsid w:val="5911226D"/>
    <w:rsid w:val="59125525"/>
    <w:rsid w:val="593E671D"/>
    <w:rsid w:val="594B4F25"/>
    <w:rsid w:val="59600515"/>
    <w:rsid w:val="597C42FE"/>
    <w:rsid w:val="597F51DB"/>
    <w:rsid w:val="59800632"/>
    <w:rsid w:val="59A44656"/>
    <w:rsid w:val="59B03DD3"/>
    <w:rsid w:val="59C56FDD"/>
    <w:rsid w:val="59CC57D0"/>
    <w:rsid w:val="5A0129FC"/>
    <w:rsid w:val="5A143CFD"/>
    <w:rsid w:val="5A2703F4"/>
    <w:rsid w:val="5A2F0BF8"/>
    <w:rsid w:val="5A482088"/>
    <w:rsid w:val="5A5206DF"/>
    <w:rsid w:val="5A542C07"/>
    <w:rsid w:val="5A5439FA"/>
    <w:rsid w:val="5A6234E2"/>
    <w:rsid w:val="5A627549"/>
    <w:rsid w:val="5A7A75CE"/>
    <w:rsid w:val="5A8B3F59"/>
    <w:rsid w:val="5AB42FF7"/>
    <w:rsid w:val="5AC95812"/>
    <w:rsid w:val="5B161F0B"/>
    <w:rsid w:val="5B5A4066"/>
    <w:rsid w:val="5B7E3C58"/>
    <w:rsid w:val="5B9B6110"/>
    <w:rsid w:val="5BAA6402"/>
    <w:rsid w:val="5BC94012"/>
    <w:rsid w:val="5BD370B1"/>
    <w:rsid w:val="5BD66DE5"/>
    <w:rsid w:val="5BDF089D"/>
    <w:rsid w:val="5BE53467"/>
    <w:rsid w:val="5C0D7ACC"/>
    <w:rsid w:val="5C581354"/>
    <w:rsid w:val="5C594328"/>
    <w:rsid w:val="5C6313F0"/>
    <w:rsid w:val="5C7B58DA"/>
    <w:rsid w:val="5C8330B9"/>
    <w:rsid w:val="5CB8439F"/>
    <w:rsid w:val="5CDE3049"/>
    <w:rsid w:val="5CF13C91"/>
    <w:rsid w:val="5D0C5C8A"/>
    <w:rsid w:val="5D515BB8"/>
    <w:rsid w:val="5D656FEC"/>
    <w:rsid w:val="5D9725CD"/>
    <w:rsid w:val="5DBA20EA"/>
    <w:rsid w:val="5E3203DA"/>
    <w:rsid w:val="5E6F3CDF"/>
    <w:rsid w:val="5E7100B4"/>
    <w:rsid w:val="5E790703"/>
    <w:rsid w:val="5E7D59F4"/>
    <w:rsid w:val="5E8D2F34"/>
    <w:rsid w:val="5E9A35FD"/>
    <w:rsid w:val="5EAE1517"/>
    <w:rsid w:val="5EB712C1"/>
    <w:rsid w:val="5EFB1892"/>
    <w:rsid w:val="5F193EB5"/>
    <w:rsid w:val="5F2D5DD8"/>
    <w:rsid w:val="5F3E2DCA"/>
    <w:rsid w:val="5F481E7C"/>
    <w:rsid w:val="5F536AF7"/>
    <w:rsid w:val="5F5D7283"/>
    <w:rsid w:val="5F8A4EA6"/>
    <w:rsid w:val="5FAA35F5"/>
    <w:rsid w:val="5FD203AA"/>
    <w:rsid w:val="5FEA2C10"/>
    <w:rsid w:val="5FFF7A76"/>
    <w:rsid w:val="60557A31"/>
    <w:rsid w:val="605A326A"/>
    <w:rsid w:val="60612A21"/>
    <w:rsid w:val="609469F6"/>
    <w:rsid w:val="60B17ED6"/>
    <w:rsid w:val="60B72E35"/>
    <w:rsid w:val="60C51B55"/>
    <w:rsid w:val="610412AB"/>
    <w:rsid w:val="610E0276"/>
    <w:rsid w:val="61146018"/>
    <w:rsid w:val="611645C8"/>
    <w:rsid w:val="612D2A86"/>
    <w:rsid w:val="615B4C2C"/>
    <w:rsid w:val="616A1627"/>
    <w:rsid w:val="618D1647"/>
    <w:rsid w:val="61CB071B"/>
    <w:rsid w:val="620074A7"/>
    <w:rsid w:val="620C6FAD"/>
    <w:rsid w:val="62166846"/>
    <w:rsid w:val="621A40BA"/>
    <w:rsid w:val="622A7684"/>
    <w:rsid w:val="623814CE"/>
    <w:rsid w:val="623C404E"/>
    <w:rsid w:val="623F26A1"/>
    <w:rsid w:val="624A52E4"/>
    <w:rsid w:val="62605ABD"/>
    <w:rsid w:val="627C5D5C"/>
    <w:rsid w:val="62B62BAA"/>
    <w:rsid w:val="62D4361B"/>
    <w:rsid w:val="62DC1C0C"/>
    <w:rsid w:val="62ED52CD"/>
    <w:rsid w:val="62EF7F41"/>
    <w:rsid w:val="62F20A31"/>
    <w:rsid w:val="62FE6DCC"/>
    <w:rsid w:val="631E766C"/>
    <w:rsid w:val="631F149E"/>
    <w:rsid w:val="634F701D"/>
    <w:rsid w:val="6358478B"/>
    <w:rsid w:val="63915D2E"/>
    <w:rsid w:val="63EE0983"/>
    <w:rsid w:val="6432149C"/>
    <w:rsid w:val="643A7E5F"/>
    <w:rsid w:val="643C737B"/>
    <w:rsid w:val="64431941"/>
    <w:rsid w:val="644577F2"/>
    <w:rsid w:val="64674E53"/>
    <w:rsid w:val="646D3566"/>
    <w:rsid w:val="646D5912"/>
    <w:rsid w:val="649A155C"/>
    <w:rsid w:val="64AD61CC"/>
    <w:rsid w:val="64B85503"/>
    <w:rsid w:val="64C970A6"/>
    <w:rsid w:val="64CF7CDA"/>
    <w:rsid w:val="65006349"/>
    <w:rsid w:val="65360951"/>
    <w:rsid w:val="65461BCD"/>
    <w:rsid w:val="65504336"/>
    <w:rsid w:val="65775716"/>
    <w:rsid w:val="65AF56F5"/>
    <w:rsid w:val="65BF57CC"/>
    <w:rsid w:val="65D05282"/>
    <w:rsid w:val="65F1491B"/>
    <w:rsid w:val="660E65C5"/>
    <w:rsid w:val="662D4138"/>
    <w:rsid w:val="66332206"/>
    <w:rsid w:val="66883359"/>
    <w:rsid w:val="66B067C8"/>
    <w:rsid w:val="66BD61E4"/>
    <w:rsid w:val="66BF7E09"/>
    <w:rsid w:val="66CC79AA"/>
    <w:rsid w:val="67010918"/>
    <w:rsid w:val="670E693C"/>
    <w:rsid w:val="673378CE"/>
    <w:rsid w:val="67846164"/>
    <w:rsid w:val="6785212B"/>
    <w:rsid w:val="67B02B95"/>
    <w:rsid w:val="67C33A58"/>
    <w:rsid w:val="67D23C0A"/>
    <w:rsid w:val="67DB310E"/>
    <w:rsid w:val="680D75E6"/>
    <w:rsid w:val="680F7016"/>
    <w:rsid w:val="68185007"/>
    <w:rsid w:val="68335E16"/>
    <w:rsid w:val="68495412"/>
    <w:rsid w:val="68626578"/>
    <w:rsid w:val="68672FA3"/>
    <w:rsid w:val="6878017B"/>
    <w:rsid w:val="68985E1C"/>
    <w:rsid w:val="689B2E75"/>
    <w:rsid w:val="68C971EC"/>
    <w:rsid w:val="68F0240D"/>
    <w:rsid w:val="68F92632"/>
    <w:rsid w:val="69282E93"/>
    <w:rsid w:val="693F0B02"/>
    <w:rsid w:val="696570DE"/>
    <w:rsid w:val="696D3AEF"/>
    <w:rsid w:val="698C2ACB"/>
    <w:rsid w:val="69A44565"/>
    <w:rsid w:val="69A728D7"/>
    <w:rsid w:val="69AC570B"/>
    <w:rsid w:val="69DD42C0"/>
    <w:rsid w:val="69FC6B81"/>
    <w:rsid w:val="6A117834"/>
    <w:rsid w:val="6A136F90"/>
    <w:rsid w:val="6A295529"/>
    <w:rsid w:val="6A296D63"/>
    <w:rsid w:val="6A6224E5"/>
    <w:rsid w:val="6A9F63B8"/>
    <w:rsid w:val="6ABF4A93"/>
    <w:rsid w:val="6B3353E8"/>
    <w:rsid w:val="6B3C12E9"/>
    <w:rsid w:val="6B626827"/>
    <w:rsid w:val="6B727620"/>
    <w:rsid w:val="6B836DF1"/>
    <w:rsid w:val="6BC623F2"/>
    <w:rsid w:val="6BE23C62"/>
    <w:rsid w:val="6BEE7E87"/>
    <w:rsid w:val="6C0C1EB3"/>
    <w:rsid w:val="6C6C1100"/>
    <w:rsid w:val="6C8A3D77"/>
    <w:rsid w:val="6C8F70E9"/>
    <w:rsid w:val="6CC92E37"/>
    <w:rsid w:val="6D0B59B8"/>
    <w:rsid w:val="6D2F5F5A"/>
    <w:rsid w:val="6D6F4BFB"/>
    <w:rsid w:val="6D787FEA"/>
    <w:rsid w:val="6D79567B"/>
    <w:rsid w:val="6D8375D9"/>
    <w:rsid w:val="6DB31E43"/>
    <w:rsid w:val="6DBB6C34"/>
    <w:rsid w:val="6DC02C5E"/>
    <w:rsid w:val="6DD11EE3"/>
    <w:rsid w:val="6DE80A05"/>
    <w:rsid w:val="6DF407EB"/>
    <w:rsid w:val="6E1B1D0E"/>
    <w:rsid w:val="6E3A745D"/>
    <w:rsid w:val="6E3D2D94"/>
    <w:rsid w:val="6E4B5969"/>
    <w:rsid w:val="6E7111AF"/>
    <w:rsid w:val="6E766582"/>
    <w:rsid w:val="6EAE0577"/>
    <w:rsid w:val="6F0C6264"/>
    <w:rsid w:val="6F1C4342"/>
    <w:rsid w:val="6F1E0D93"/>
    <w:rsid w:val="6F3202F2"/>
    <w:rsid w:val="6F553135"/>
    <w:rsid w:val="6F5F41C5"/>
    <w:rsid w:val="6F6D0A37"/>
    <w:rsid w:val="6F743F4A"/>
    <w:rsid w:val="6FAC569B"/>
    <w:rsid w:val="6FD839C1"/>
    <w:rsid w:val="6FD937A1"/>
    <w:rsid w:val="6FDF5CB9"/>
    <w:rsid w:val="6FE2229E"/>
    <w:rsid w:val="6FFE24A2"/>
    <w:rsid w:val="700F050B"/>
    <w:rsid w:val="70106B81"/>
    <w:rsid w:val="70455252"/>
    <w:rsid w:val="7066258D"/>
    <w:rsid w:val="70966B9D"/>
    <w:rsid w:val="70A86705"/>
    <w:rsid w:val="70B63CBE"/>
    <w:rsid w:val="70B76483"/>
    <w:rsid w:val="70D03BFD"/>
    <w:rsid w:val="70E3261D"/>
    <w:rsid w:val="710D17E7"/>
    <w:rsid w:val="710E7E97"/>
    <w:rsid w:val="712602BF"/>
    <w:rsid w:val="71574160"/>
    <w:rsid w:val="719B5F30"/>
    <w:rsid w:val="719C199B"/>
    <w:rsid w:val="71D13878"/>
    <w:rsid w:val="71E8095E"/>
    <w:rsid w:val="71FD3EDC"/>
    <w:rsid w:val="71FE5F96"/>
    <w:rsid w:val="721B14FF"/>
    <w:rsid w:val="72615E4D"/>
    <w:rsid w:val="72630282"/>
    <w:rsid w:val="728225B9"/>
    <w:rsid w:val="72984FCA"/>
    <w:rsid w:val="72A537BB"/>
    <w:rsid w:val="72BE1F7B"/>
    <w:rsid w:val="72FE2E35"/>
    <w:rsid w:val="731163F0"/>
    <w:rsid w:val="731B1F4E"/>
    <w:rsid w:val="732B5930"/>
    <w:rsid w:val="733C57F0"/>
    <w:rsid w:val="7350369C"/>
    <w:rsid w:val="73627FF9"/>
    <w:rsid w:val="737A2CB8"/>
    <w:rsid w:val="738A3926"/>
    <w:rsid w:val="739A44B0"/>
    <w:rsid w:val="73DB0753"/>
    <w:rsid w:val="73E47FAB"/>
    <w:rsid w:val="73F446E1"/>
    <w:rsid w:val="73F65723"/>
    <w:rsid w:val="740E48E9"/>
    <w:rsid w:val="742158CA"/>
    <w:rsid w:val="74487C51"/>
    <w:rsid w:val="745D0D34"/>
    <w:rsid w:val="74630219"/>
    <w:rsid w:val="746672DC"/>
    <w:rsid w:val="74A14996"/>
    <w:rsid w:val="75027F0B"/>
    <w:rsid w:val="751B471B"/>
    <w:rsid w:val="751B52F7"/>
    <w:rsid w:val="751D7B9D"/>
    <w:rsid w:val="75282EDE"/>
    <w:rsid w:val="754A695B"/>
    <w:rsid w:val="758A352C"/>
    <w:rsid w:val="75BC7576"/>
    <w:rsid w:val="75DE273F"/>
    <w:rsid w:val="75E46C94"/>
    <w:rsid w:val="76280E8D"/>
    <w:rsid w:val="762A5148"/>
    <w:rsid w:val="76333AF7"/>
    <w:rsid w:val="76341B67"/>
    <w:rsid w:val="766D48F8"/>
    <w:rsid w:val="76892352"/>
    <w:rsid w:val="76B35568"/>
    <w:rsid w:val="76D43EA5"/>
    <w:rsid w:val="76E15234"/>
    <w:rsid w:val="76E57751"/>
    <w:rsid w:val="76F50490"/>
    <w:rsid w:val="77494FBC"/>
    <w:rsid w:val="774C5B17"/>
    <w:rsid w:val="776D6F96"/>
    <w:rsid w:val="77AF6231"/>
    <w:rsid w:val="77B71362"/>
    <w:rsid w:val="77C70B1C"/>
    <w:rsid w:val="77D17C20"/>
    <w:rsid w:val="77D5191C"/>
    <w:rsid w:val="77E02B35"/>
    <w:rsid w:val="77FB43B8"/>
    <w:rsid w:val="78246CEE"/>
    <w:rsid w:val="78426EA7"/>
    <w:rsid w:val="7848320A"/>
    <w:rsid w:val="78512D5A"/>
    <w:rsid w:val="788A48B0"/>
    <w:rsid w:val="789F27C8"/>
    <w:rsid w:val="78A927BC"/>
    <w:rsid w:val="78FB5F0C"/>
    <w:rsid w:val="7900532B"/>
    <w:rsid w:val="790E7658"/>
    <w:rsid w:val="79281448"/>
    <w:rsid w:val="792C0C3D"/>
    <w:rsid w:val="79570162"/>
    <w:rsid w:val="79575EF9"/>
    <w:rsid w:val="79AA08AF"/>
    <w:rsid w:val="79C637F9"/>
    <w:rsid w:val="79E42F97"/>
    <w:rsid w:val="7A4E3061"/>
    <w:rsid w:val="7A563C92"/>
    <w:rsid w:val="7AFB66ED"/>
    <w:rsid w:val="7B032ED5"/>
    <w:rsid w:val="7B1368E0"/>
    <w:rsid w:val="7B1B6DFE"/>
    <w:rsid w:val="7B3078B1"/>
    <w:rsid w:val="7B526246"/>
    <w:rsid w:val="7B623EC3"/>
    <w:rsid w:val="7B775C4B"/>
    <w:rsid w:val="7BB44AC5"/>
    <w:rsid w:val="7BF76DB6"/>
    <w:rsid w:val="7C037440"/>
    <w:rsid w:val="7C2416B9"/>
    <w:rsid w:val="7C242A76"/>
    <w:rsid w:val="7C3F6CC2"/>
    <w:rsid w:val="7C4E7B8F"/>
    <w:rsid w:val="7C673D0C"/>
    <w:rsid w:val="7C712591"/>
    <w:rsid w:val="7C870107"/>
    <w:rsid w:val="7C8E009F"/>
    <w:rsid w:val="7CC93B08"/>
    <w:rsid w:val="7CDB28FB"/>
    <w:rsid w:val="7CF34E81"/>
    <w:rsid w:val="7D1F758A"/>
    <w:rsid w:val="7D345C43"/>
    <w:rsid w:val="7D565EA6"/>
    <w:rsid w:val="7D62204F"/>
    <w:rsid w:val="7D79500A"/>
    <w:rsid w:val="7D7C3BD7"/>
    <w:rsid w:val="7D954D64"/>
    <w:rsid w:val="7DCC3003"/>
    <w:rsid w:val="7DCF30F2"/>
    <w:rsid w:val="7DD933CC"/>
    <w:rsid w:val="7DE06AD4"/>
    <w:rsid w:val="7DEC6F01"/>
    <w:rsid w:val="7E4230E7"/>
    <w:rsid w:val="7E465643"/>
    <w:rsid w:val="7E62023E"/>
    <w:rsid w:val="7E6965BA"/>
    <w:rsid w:val="7E6B730B"/>
    <w:rsid w:val="7E9978A2"/>
    <w:rsid w:val="7EA43677"/>
    <w:rsid w:val="7EAF7F01"/>
    <w:rsid w:val="7EB44D71"/>
    <w:rsid w:val="7EBF535B"/>
    <w:rsid w:val="7F23122B"/>
    <w:rsid w:val="7F4A12EA"/>
    <w:rsid w:val="7FD95CED"/>
    <w:rsid w:val="7FF77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footer"/>
    <w:basedOn w:val="1"/>
    <w:qFormat/>
    <w:uiPriority w:val="0"/>
    <w:pPr>
      <w:snapToGrid w:val="0"/>
      <w:ind w:right="210" w:rightChars="100"/>
      <w:jc w:val="right"/>
    </w:pPr>
    <w:rPr>
      <w:sz w:val="18"/>
      <w:szCs w:val="18"/>
    </w:rPr>
  </w:style>
  <w:style w:type="paragraph" w:styleId="16">
    <w:name w:val="header"/>
    <w:basedOn w:val="1"/>
    <w:qFormat/>
    <w:uiPriority w:val="0"/>
    <w:pPr>
      <w:snapToGrid w:val="0"/>
      <w:jc w:val="left"/>
    </w:pPr>
    <w:rPr>
      <w:sz w:val="18"/>
      <w:szCs w:val="18"/>
    </w:rPr>
  </w:style>
  <w:style w:type="paragraph" w:styleId="17">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8">
    <w:name w:val="toc 4"/>
    <w:basedOn w:val="1"/>
    <w:next w:val="1"/>
    <w:semiHidden/>
    <w:qFormat/>
    <w:uiPriority w:val="0"/>
    <w:pPr>
      <w:tabs>
        <w:tab w:val="right" w:leader="dot" w:pos="9241"/>
      </w:tabs>
      <w:ind w:firstLine="200"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21"/>
    <w:qFormat/>
    <w:uiPriority w:val="0"/>
    <w:pPr>
      <w:tabs>
        <w:tab w:val="right" w:leader="dot" w:pos="9299"/>
      </w:tabs>
      <w:jc w:val="left"/>
    </w:pPr>
    <w:rPr>
      <w:rFonts w:ascii="宋体"/>
      <w:szCs w:val="21"/>
    </w:rPr>
  </w:style>
  <w:style w:type="paragraph" w:customStyle="1" w:styleId="21">
    <w:name w:val="段"/>
    <w:link w:val="1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qFormat/>
    <w:uiPriority w:val="0"/>
    <w:pPr>
      <w:numPr>
        <w:ilvl w:val="0"/>
        <w:numId w:val="1"/>
      </w:numPr>
      <w:snapToGrid w:val="0"/>
      <w:jc w:val="left"/>
    </w:pPr>
    <w:rPr>
      <w:rFonts w:ascii="宋体"/>
      <w:sz w:val="18"/>
      <w:szCs w:val="18"/>
    </w:rPr>
  </w:style>
  <w:style w:type="paragraph" w:styleId="23">
    <w:name w:val="toc 6"/>
    <w:basedOn w:val="1"/>
    <w:next w:val="1"/>
    <w:semiHidden/>
    <w:qFormat/>
    <w:uiPriority w:val="0"/>
    <w:pPr>
      <w:tabs>
        <w:tab w:val="right" w:leader="dot" w:pos="9241"/>
      </w:tabs>
      <w:ind w:firstLine="400"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2"/>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0"/>
    <w:rPr>
      <w:b/>
    </w:rPr>
  </w:style>
  <w:style w:type="character" w:styleId="34">
    <w:name w:val="endnote reference"/>
    <w:basedOn w:val="32"/>
    <w:semiHidden/>
    <w:qFormat/>
    <w:uiPriority w:val="0"/>
    <w:rPr>
      <w:vertAlign w:val="superscript"/>
    </w:rPr>
  </w:style>
  <w:style w:type="character" w:styleId="35">
    <w:name w:val="page number"/>
    <w:basedOn w:val="32"/>
    <w:qFormat/>
    <w:uiPriority w:val="0"/>
    <w:rPr>
      <w:rFonts w:ascii="Times New Roman" w:hAnsi="Times New Roman" w:eastAsia="宋体"/>
      <w:sz w:val="18"/>
    </w:rPr>
  </w:style>
  <w:style w:type="character" w:styleId="36">
    <w:name w:val="FollowedHyperlink"/>
    <w:basedOn w:val="32"/>
    <w:qFormat/>
    <w:uiPriority w:val="0"/>
    <w:rPr>
      <w:color w:val="800080"/>
      <w:u w:val="single"/>
    </w:rPr>
  </w:style>
  <w:style w:type="character" w:styleId="37">
    <w:name w:val="Hyperlink"/>
    <w:basedOn w:val="32"/>
    <w:qFormat/>
    <w:uiPriority w:val="0"/>
    <w:rPr>
      <w:color w:val="0000FF"/>
      <w:spacing w:val="0"/>
      <w:w w:val="100"/>
      <w:szCs w:val="21"/>
      <w:u w:val="single"/>
    </w:rPr>
  </w:style>
  <w:style w:type="character" w:styleId="38">
    <w:name w:val="annotation reference"/>
    <w:basedOn w:val="32"/>
    <w:qFormat/>
    <w:uiPriority w:val="0"/>
    <w:rPr>
      <w:sz w:val="21"/>
      <w:szCs w:val="21"/>
    </w:rPr>
  </w:style>
  <w:style w:type="character" w:styleId="39">
    <w:name w:val="footnote reference"/>
    <w:basedOn w:val="32"/>
    <w:semiHidden/>
    <w:qFormat/>
    <w:uiPriority w:val="0"/>
    <w:rPr>
      <w:vertAlign w:val="superscript"/>
    </w:rPr>
  </w:style>
  <w:style w:type="paragraph" w:customStyle="1" w:styleId="40">
    <w:name w:val="附录标识"/>
    <w:basedOn w:val="1"/>
    <w:next w:val="21"/>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1">
    <w:name w:val="注："/>
    <w:next w:val="21"/>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42">
    <w:name w:val="标准书眉_偶数页"/>
    <w:basedOn w:val="43"/>
    <w:next w:val="1"/>
    <w:qFormat/>
    <w:uiPriority w:val="0"/>
    <w:pPr>
      <w:tabs>
        <w:tab w:val="center" w:pos="4154"/>
        <w:tab w:val="right" w:pos="8306"/>
      </w:tabs>
      <w:jc w:val="left"/>
    </w:pPr>
    <w:rPr>
      <w:rFonts w:ascii="黑体" w:eastAsia="黑体"/>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其他标准标志"/>
    <w:basedOn w:val="45"/>
    <w:qFormat/>
    <w:uiPriority w:val="0"/>
    <w:pPr>
      <w:framePr w:w="6101" w:vAnchor="page" w:hAnchor="page" w:x="4673" w:y="942"/>
    </w:pPr>
    <w:rPr>
      <w:w w:val="130"/>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7">
    <w:name w:val="四级无"/>
    <w:basedOn w:val="48"/>
    <w:qFormat/>
    <w:uiPriority w:val="0"/>
    <w:pPr>
      <w:spacing w:before="0" w:beforeLines="0" w:after="0" w:afterLines="0"/>
    </w:pPr>
    <w:rPr>
      <w:rFonts w:ascii="宋体" w:eastAsia="宋体"/>
    </w:rPr>
  </w:style>
  <w:style w:type="paragraph" w:customStyle="1" w:styleId="48">
    <w:name w:val="四级条标题"/>
    <w:basedOn w:val="49"/>
    <w:next w:val="21"/>
    <w:qFormat/>
    <w:uiPriority w:val="0"/>
    <w:pPr>
      <w:numPr>
        <w:ilvl w:val="4"/>
        <w:numId w:val="5"/>
      </w:numPr>
      <w:outlineLvl w:val="5"/>
    </w:pPr>
  </w:style>
  <w:style w:type="paragraph" w:customStyle="1" w:styleId="49">
    <w:name w:val="三级条标题"/>
    <w:basedOn w:val="50"/>
    <w:next w:val="21"/>
    <w:qFormat/>
    <w:uiPriority w:val="0"/>
    <w:pPr>
      <w:numPr>
        <w:ilvl w:val="3"/>
        <w:numId w:val="5"/>
      </w:numPr>
      <w:outlineLvl w:val="4"/>
    </w:pPr>
  </w:style>
  <w:style w:type="paragraph" w:customStyle="1" w:styleId="50">
    <w:name w:val="二级条标题"/>
    <w:basedOn w:val="51"/>
    <w:next w:val="21"/>
    <w:qFormat/>
    <w:uiPriority w:val="0"/>
    <w:pPr>
      <w:numPr>
        <w:ilvl w:val="2"/>
        <w:numId w:val="5"/>
      </w:numPr>
      <w:spacing w:before="50" w:after="50"/>
      <w:outlineLvl w:val="3"/>
    </w:pPr>
  </w:style>
  <w:style w:type="paragraph" w:customStyle="1" w:styleId="51">
    <w:name w:val="一级条标题"/>
    <w:next w:val="21"/>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53">
    <w:name w:val="正文表标题"/>
    <w:next w:val="21"/>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4">
    <w:name w:val="五级条标题"/>
    <w:basedOn w:val="48"/>
    <w:next w:val="21"/>
    <w:qFormat/>
    <w:uiPriority w:val="0"/>
    <w:pPr>
      <w:numPr>
        <w:ilvl w:val="5"/>
        <w:numId w:val="5"/>
      </w:numPr>
      <w:outlineLvl w:val="6"/>
    </w:pPr>
  </w:style>
  <w:style w:type="paragraph" w:customStyle="1" w:styleId="55">
    <w:name w:val="附录章标题"/>
    <w:next w:val="21"/>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6">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5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8">
    <w:name w:val="其他发布部门"/>
    <w:basedOn w:val="59"/>
    <w:qFormat/>
    <w:uiPriority w:val="0"/>
    <w:pPr>
      <w:framePr w:y="15310"/>
      <w:spacing w:line="0" w:lineRule="atLeast"/>
    </w:pPr>
    <w:rPr>
      <w:rFonts w:ascii="黑体" w:eastAsia="黑体"/>
      <w:b w:val="0"/>
    </w:rPr>
  </w:style>
  <w:style w:type="paragraph" w:customStyle="1" w:styleId="59">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0">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1">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62">
    <w:name w:val="附录表标号"/>
    <w:basedOn w:val="1"/>
    <w:next w:val="21"/>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63">
    <w:name w:val="条文脚注"/>
    <w:basedOn w:val="22"/>
    <w:qFormat/>
    <w:uiPriority w:val="0"/>
    <w:pPr>
      <w:numPr>
        <w:ilvl w:val="0"/>
        <w:numId w:val="0"/>
      </w:numPr>
      <w:jc w:val="both"/>
    </w:pPr>
    <w:rPr>
      <w:rFonts w:ascii="宋体"/>
    </w:rPr>
  </w:style>
  <w:style w:type="paragraph" w:customStyle="1" w:styleId="64">
    <w:name w:val="注：（正文）"/>
    <w:basedOn w:val="41"/>
    <w:next w:val="21"/>
    <w:qFormat/>
    <w:uiPriority w:val="0"/>
  </w:style>
  <w:style w:type="paragraph" w:customStyle="1" w:styleId="65">
    <w:name w:val="二级无"/>
    <w:basedOn w:val="50"/>
    <w:qFormat/>
    <w:uiPriority w:val="0"/>
    <w:pPr>
      <w:spacing w:before="0" w:beforeLines="0" w:after="0" w:afterLines="0"/>
      <w:ind w:left="0" w:firstLine="0"/>
    </w:pPr>
    <w:rPr>
      <w:rFonts w:ascii="宋体" w:eastAsia="宋体"/>
    </w:rPr>
  </w:style>
  <w:style w:type="paragraph" w:customStyle="1" w:styleId="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封面标准文稿类别"/>
    <w:basedOn w:val="70"/>
    <w:qFormat/>
    <w:uiPriority w:val="0"/>
    <w:pPr>
      <w:spacing w:after="160" w:line="240" w:lineRule="auto"/>
    </w:pPr>
    <w:rPr>
      <w:sz w:val="24"/>
    </w:rPr>
  </w:style>
  <w:style w:type="paragraph" w:customStyle="1" w:styleId="70">
    <w:name w:val="封面一致性程度标识"/>
    <w:basedOn w:val="71"/>
    <w:qFormat/>
    <w:uiPriority w:val="0"/>
    <w:pPr>
      <w:spacing w:before="440"/>
    </w:pPr>
    <w:rPr>
      <w:rFonts w:ascii="宋体" w:eastAsia="宋体"/>
    </w:rPr>
  </w:style>
  <w:style w:type="paragraph" w:customStyle="1" w:styleId="71">
    <w:name w:val="封面标准英文名称"/>
    <w:basedOn w:val="72"/>
    <w:qFormat/>
    <w:uiPriority w:val="0"/>
    <w:pPr>
      <w:spacing w:before="370" w:line="400" w:lineRule="exact"/>
    </w:pPr>
    <w:rPr>
      <w:rFonts w:ascii="Times New Roman"/>
      <w:sz w:val="28"/>
      <w:szCs w:val="28"/>
    </w:rPr>
  </w:style>
  <w:style w:type="paragraph" w:customStyle="1" w:styleId="7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4">
    <w:name w:val="附录一级条标题"/>
    <w:basedOn w:val="55"/>
    <w:next w:val="21"/>
    <w:qFormat/>
    <w:uiPriority w:val="0"/>
    <w:pPr>
      <w:numPr>
        <w:ilvl w:val="2"/>
        <w:numId w:val="2"/>
      </w:numPr>
      <w:autoSpaceDN w:val="0"/>
      <w:spacing w:before="50" w:beforeLines="50" w:after="50" w:afterLines="50"/>
      <w:outlineLvl w:val="2"/>
    </w:pPr>
  </w:style>
  <w:style w:type="paragraph" w:customStyle="1" w:styleId="75">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附录二级条标题"/>
    <w:basedOn w:val="1"/>
    <w:next w:val="21"/>
    <w:qFormat/>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0">
    <w:name w:val="五级无"/>
    <w:basedOn w:val="54"/>
    <w:qFormat/>
    <w:uiPriority w:val="0"/>
    <w:pPr>
      <w:spacing w:before="0" w:beforeLines="0" w:after="0" w:afterLines="0"/>
    </w:pPr>
    <w:rPr>
      <w:rFonts w:ascii="宋体" w:eastAsia="宋体"/>
    </w:rPr>
  </w:style>
  <w:style w:type="paragraph" w:customStyle="1" w:styleId="81">
    <w:name w:val="附录四级无"/>
    <w:basedOn w:val="82"/>
    <w:qFormat/>
    <w:uiPriority w:val="0"/>
    <w:pPr>
      <w:tabs>
        <w:tab w:val="left" w:pos="360"/>
      </w:tabs>
      <w:spacing w:before="0" w:beforeLines="0" w:after="0" w:afterLines="0"/>
    </w:pPr>
    <w:rPr>
      <w:rFonts w:ascii="宋体" w:eastAsia="宋体"/>
      <w:szCs w:val="21"/>
    </w:rPr>
  </w:style>
  <w:style w:type="paragraph" w:customStyle="1" w:styleId="82">
    <w:name w:val="附录四级条标题"/>
    <w:basedOn w:val="83"/>
    <w:next w:val="21"/>
    <w:qFormat/>
    <w:uiPriority w:val="0"/>
    <w:pPr>
      <w:numPr>
        <w:ilvl w:val="5"/>
        <w:numId w:val="2"/>
      </w:numPr>
      <w:tabs>
        <w:tab w:val="left" w:pos="360"/>
      </w:tabs>
      <w:outlineLvl w:val="5"/>
    </w:pPr>
  </w:style>
  <w:style w:type="paragraph" w:customStyle="1" w:styleId="83">
    <w:name w:val="附录三级条标题"/>
    <w:basedOn w:val="79"/>
    <w:next w:val="21"/>
    <w:qFormat/>
    <w:uiPriority w:val="0"/>
    <w:pPr>
      <w:numPr>
        <w:ilvl w:val="4"/>
        <w:numId w:val="2"/>
      </w:numPr>
      <w:outlineLvl w:val="4"/>
    </w:pPr>
  </w:style>
  <w:style w:type="paragraph" w:customStyle="1" w:styleId="84">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85">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86">
    <w:name w:val="示例"/>
    <w:next w:val="87"/>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0">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91">
    <w:name w:val="附录五级条标题"/>
    <w:basedOn w:val="82"/>
    <w:next w:val="21"/>
    <w:qFormat/>
    <w:uiPriority w:val="0"/>
    <w:pPr>
      <w:numPr>
        <w:ilvl w:val="6"/>
        <w:numId w:val="2"/>
      </w:numPr>
      <w:outlineLvl w:val="6"/>
    </w:pPr>
  </w:style>
  <w:style w:type="paragraph" w:customStyle="1" w:styleId="92">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示例×："/>
    <w:basedOn w:val="94"/>
    <w:qFormat/>
    <w:uiPriority w:val="0"/>
    <w:pPr>
      <w:numPr>
        <w:ilvl w:val="0"/>
        <w:numId w:val="14"/>
      </w:numPr>
      <w:spacing w:before="0" w:beforeLines="0" w:after="0" w:afterLines="0"/>
      <w:outlineLvl w:val="9"/>
    </w:pPr>
    <w:rPr>
      <w:rFonts w:ascii="宋体" w:eastAsia="宋体"/>
      <w:sz w:val="18"/>
      <w:szCs w:val="18"/>
    </w:rPr>
  </w:style>
  <w:style w:type="paragraph" w:customStyle="1" w:styleId="94">
    <w:name w:val="章标题"/>
    <w:next w:val="21"/>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5">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6">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列项◆（三级）"/>
    <w:basedOn w:val="1"/>
    <w:qFormat/>
    <w:uiPriority w:val="0"/>
    <w:pPr>
      <w:numPr>
        <w:ilvl w:val="2"/>
        <w:numId w:val="6"/>
      </w:numPr>
    </w:pPr>
    <w:rPr>
      <w:rFonts w:ascii="宋体"/>
      <w:szCs w:val="21"/>
    </w:rPr>
  </w:style>
  <w:style w:type="paragraph" w:customStyle="1" w:styleId="99">
    <w:name w:val="附录五级无"/>
    <w:basedOn w:val="91"/>
    <w:qFormat/>
    <w:uiPriority w:val="0"/>
    <w:pPr>
      <w:tabs>
        <w:tab w:val="clear" w:pos="360"/>
      </w:tabs>
      <w:spacing w:before="0" w:beforeLines="0" w:after="0" w:afterLines="0"/>
    </w:pPr>
    <w:rPr>
      <w:rFonts w:ascii="宋体" w:eastAsia="宋体"/>
      <w:szCs w:val="21"/>
    </w:rPr>
  </w:style>
  <w:style w:type="paragraph" w:customStyle="1" w:styleId="100">
    <w:name w:val="附录一级无"/>
    <w:basedOn w:val="74"/>
    <w:qFormat/>
    <w:uiPriority w:val="0"/>
    <w:pPr>
      <w:tabs>
        <w:tab w:val="clear" w:pos="360"/>
      </w:tabs>
      <w:spacing w:before="0" w:beforeLines="0" w:after="0" w:afterLines="0"/>
    </w:pPr>
    <w:rPr>
      <w:rFonts w:ascii="宋体" w:eastAsia="宋体"/>
      <w:szCs w:val="21"/>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图标脚注说明"/>
    <w:basedOn w:val="21"/>
    <w:qFormat/>
    <w:uiPriority w:val="0"/>
    <w:pPr>
      <w:ind w:left="840" w:hanging="420" w:firstLineChars="0"/>
    </w:pPr>
    <w:rPr>
      <w:sz w:val="18"/>
      <w:szCs w:val="18"/>
    </w:rPr>
  </w:style>
  <w:style w:type="paragraph" w:customStyle="1" w:styleId="103">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0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6">
    <w:name w:val="一级无"/>
    <w:basedOn w:val="51"/>
    <w:qFormat/>
    <w:uiPriority w:val="0"/>
    <w:pPr>
      <w:spacing w:before="0" w:beforeLines="0" w:after="0" w:afterLines="0"/>
    </w:pPr>
    <w:rPr>
      <w:rFonts w:ascii="宋体" w:eastAsia="宋体"/>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示例后文字"/>
    <w:basedOn w:val="21"/>
    <w:next w:val="21"/>
    <w:qFormat/>
    <w:uiPriority w:val="0"/>
    <w:pPr>
      <w:ind w:firstLine="360"/>
    </w:pPr>
    <w:rPr>
      <w:sz w:val="18"/>
    </w:rPr>
  </w:style>
  <w:style w:type="paragraph" w:customStyle="1" w:styleId="109">
    <w:name w:val="封面标准文稿编辑信息"/>
    <w:basedOn w:val="69"/>
    <w:qFormat/>
    <w:uiPriority w:val="0"/>
    <w:pPr>
      <w:spacing w:before="180" w:line="180" w:lineRule="exact"/>
    </w:pPr>
    <w:rPr>
      <w:sz w:val="21"/>
    </w:rPr>
  </w:style>
  <w:style w:type="paragraph" w:customStyle="1" w:styleId="110">
    <w:name w:val="附录公式"/>
    <w:basedOn w:val="21"/>
    <w:next w:val="21"/>
    <w:link w:val="134"/>
    <w:qFormat/>
    <w:uiPriority w:val="0"/>
  </w:style>
  <w:style w:type="paragraph" w:customStyle="1" w:styleId="111">
    <w:name w:val="封面正文"/>
    <w:qFormat/>
    <w:uiPriority w:val="0"/>
    <w:pPr>
      <w:jc w:val="both"/>
    </w:pPr>
    <w:rPr>
      <w:rFonts w:ascii="Times New Roman" w:hAnsi="Times New Roman" w:eastAsia="宋体" w:cs="Times New Roman"/>
      <w:lang w:val="en-US" w:eastAsia="zh-CN" w:bidi="ar-SA"/>
    </w:rPr>
  </w:style>
  <w:style w:type="paragraph" w:customStyle="1" w:styleId="112">
    <w:name w:val="附录标题"/>
    <w:basedOn w:val="21"/>
    <w:next w:val="21"/>
    <w:qFormat/>
    <w:uiPriority w:val="0"/>
    <w:pPr>
      <w:ind w:firstLine="0" w:firstLineChars="0"/>
      <w:jc w:val="center"/>
    </w:pPr>
    <w:rPr>
      <w:rFonts w:ascii="黑体" w:eastAsia="黑体"/>
    </w:rPr>
  </w:style>
  <w:style w:type="paragraph" w:customStyle="1" w:styleId="113">
    <w:name w:val="附录表标题"/>
    <w:basedOn w:val="1"/>
    <w:next w:val="21"/>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14">
    <w:name w:val="附录二级无"/>
    <w:basedOn w:val="79"/>
    <w:qFormat/>
    <w:uiPriority w:val="0"/>
    <w:pPr>
      <w:tabs>
        <w:tab w:val="clear" w:pos="360"/>
      </w:tabs>
      <w:spacing w:before="0" w:beforeLines="0" w:after="0" w:afterLines="0"/>
    </w:pPr>
    <w:rPr>
      <w:rFonts w:ascii="宋体" w:eastAsia="宋体"/>
      <w:szCs w:val="21"/>
    </w:rPr>
  </w:style>
  <w:style w:type="paragraph" w:customStyle="1" w:styleId="115">
    <w:name w:val="首示例"/>
    <w:next w:val="21"/>
    <w:link w:val="135"/>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paragraph" w:customStyle="1" w:styleId="116">
    <w:name w:val="附录三级无"/>
    <w:basedOn w:val="83"/>
    <w:qFormat/>
    <w:uiPriority w:val="0"/>
    <w:pPr>
      <w:tabs>
        <w:tab w:val="clear" w:pos="360"/>
      </w:tabs>
      <w:spacing w:before="0" w:beforeLines="0" w:after="0" w:afterLines="0"/>
    </w:pPr>
    <w:rPr>
      <w:rFonts w:ascii="宋体" w:eastAsia="宋体"/>
      <w:szCs w:val="21"/>
    </w:rPr>
  </w:style>
  <w:style w:type="paragraph" w:customStyle="1" w:styleId="117">
    <w:name w:val="三级无"/>
    <w:basedOn w:val="49"/>
    <w:qFormat/>
    <w:uiPriority w:val="0"/>
    <w:pPr>
      <w:spacing w:before="0" w:beforeLines="0" w:after="0" w:afterLines="0"/>
    </w:pPr>
    <w:rPr>
      <w:rFonts w:ascii="宋体" w:eastAsia="宋体"/>
    </w:rPr>
  </w:style>
  <w:style w:type="paragraph" w:customStyle="1" w:styleId="118">
    <w:name w:val="附录图标题"/>
    <w:basedOn w:val="1"/>
    <w:next w:val="21"/>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1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0">
    <w:name w:val="实施日期"/>
    <w:basedOn w:val="105"/>
    <w:qFormat/>
    <w:uiPriority w:val="0"/>
    <w:pPr>
      <w:framePr w:vAnchor="page" w:hAnchor="page"/>
      <w:jc w:val="right"/>
    </w:pPr>
  </w:style>
  <w:style w:type="paragraph" w:customStyle="1" w:styleId="121">
    <w:name w:val="图表脚注说明"/>
    <w:basedOn w:val="1"/>
    <w:qFormat/>
    <w:uiPriority w:val="0"/>
    <w:pPr>
      <w:numPr>
        <w:ilvl w:val="0"/>
        <w:numId w:val="16"/>
      </w:numPr>
    </w:pPr>
    <w:rPr>
      <w:rFonts w:ascii="宋体"/>
      <w:sz w:val="18"/>
      <w:szCs w:val="18"/>
    </w:rPr>
  </w:style>
  <w:style w:type="paragraph" w:customStyle="1" w:styleId="122">
    <w:name w:val="正文公式编号制表符"/>
    <w:basedOn w:val="21"/>
    <w:next w:val="21"/>
    <w:qFormat/>
    <w:uiPriority w:val="0"/>
    <w:pPr>
      <w:ind w:firstLine="0" w:firstLineChars="0"/>
    </w:pPr>
  </w:style>
  <w:style w:type="paragraph" w:customStyle="1" w:styleId="123">
    <w:name w:val="正文图标题"/>
    <w:next w:val="21"/>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4">
    <w:name w:val="终结线"/>
    <w:basedOn w:val="1"/>
    <w:qFormat/>
    <w:uiPriority w:val="0"/>
    <w:pPr>
      <w:framePr w:hSpace="181" w:vSpace="181" w:wrap="around" w:vAnchor="text" w:hAnchor="margin" w:xAlign="center" w:y="285"/>
    </w:pPr>
  </w:style>
  <w:style w:type="paragraph" w:customStyle="1" w:styleId="125">
    <w:name w:val="其他发布日期"/>
    <w:basedOn w:val="105"/>
    <w:qFormat/>
    <w:uiPriority w:val="0"/>
    <w:pPr>
      <w:framePr w:vAnchor="page" w:hAnchor="page" w:x="1419"/>
    </w:pPr>
  </w:style>
  <w:style w:type="paragraph" w:customStyle="1" w:styleId="126">
    <w:name w:val="其他实施日期"/>
    <w:basedOn w:val="120"/>
    <w:qFormat/>
    <w:uiPriority w:val="0"/>
  </w:style>
  <w:style w:type="paragraph" w:customStyle="1" w:styleId="127">
    <w:name w:val="封面标准名称2"/>
    <w:basedOn w:val="72"/>
    <w:qFormat/>
    <w:uiPriority w:val="0"/>
    <w:pPr>
      <w:framePr w:y="4469"/>
      <w:spacing w:before="630" w:beforeLines="630"/>
    </w:pPr>
  </w:style>
  <w:style w:type="paragraph" w:customStyle="1" w:styleId="128">
    <w:name w:val="封面标准英文名称2"/>
    <w:basedOn w:val="71"/>
    <w:qFormat/>
    <w:uiPriority w:val="0"/>
    <w:pPr>
      <w:framePr w:y="4469"/>
    </w:pPr>
  </w:style>
  <w:style w:type="paragraph" w:customStyle="1" w:styleId="129">
    <w:name w:val="封面一致性程度标识2"/>
    <w:basedOn w:val="70"/>
    <w:qFormat/>
    <w:uiPriority w:val="0"/>
    <w:pPr>
      <w:framePr w:y="4469"/>
    </w:pPr>
  </w:style>
  <w:style w:type="paragraph" w:customStyle="1" w:styleId="130">
    <w:name w:val="封面标准文稿类别2"/>
    <w:basedOn w:val="69"/>
    <w:qFormat/>
    <w:uiPriority w:val="0"/>
    <w:pPr>
      <w:framePr w:y="4469"/>
    </w:pPr>
  </w:style>
  <w:style w:type="paragraph" w:customStyle="1" w:styleId="131">
    <w:name w:val="封面标准文稿编辑信息2"/>
    <w:basedOn w:val="109"/>
    <w:qFormat/>
    <w:uiPriority w:val="0"/>
    <w:pPr>
      <w:framePr w:y="4469"/>
    </w:pPr>
  </w:style>
  <w:style w:type="character" w:customStyle="1" w:styleId="132">
    <w:name w:val="段 Char"/>
    <w:basedOn w:val="32"/>
    <w:link w:val="21"/>
    <w:qFormat/>
    <w:uiPriority w:val="0"/>
    <w:rPr>
      <w:rFonts w:ascii="宋体"/>
      <w:sz w:val="21"/>
      <w:lang w:val="en-US" w:eastAsia="zh-CN" w:bidi="ar-SA"/>
    </w:rPr>
  </w:style>
  <w:style w:type="character" w:customStyle="1" w:styleId="133">
    <w:name w:val="发布"/>
    <w:basedOn w:val="32"/>
    <w:qFormat/>
    <w:uiPriority w:val="0"/>
    <w:rPr>
      <w:rFonts w:ascii="黑体" w:eastAsia="黑体"/>
      <w:spacing w:val="85"/>
      <w:w w:val="100"/>
      <w:position w:val="3"/>
      <w:sz w:val="28"/>
      <w:szCs w:val="28"/>
    </w:rPr>
  </w:style>
  <w:style w:type="character" w:customStyle="1" w:styleId="134">
    <w:name w:val="附录公式 Char"/>
    <w:basedOn w:val="132"/>
    <w:link w:val="110"/>
    <w:qFormat/>
    <w:uiPriority w:val="0"/>
  </w:style>
  <w:style w:type="character" w:customStyle="1" w:styleId="135">
    <w:name w:val="首示例 Char"/>
    <w:basedOn w:val="32"/>
    <w:link w:val="115"/>
    <w:qFormat/>
    <w:uiPriority w:val="0"/>
    <w:rPr>
      <w:rFonts w:ascii="宋体" w:hAnsi="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33;&#20840;&#19982;&#39118;&#38505;&#32508;&#21512;&#31649;&#29702;&#20307;&#31995;-&#20869;&#37096;&#30740;&#31350;\TCS&#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TCS格式.dot</Template>
  <Pages>35</Pages>
  <Words>21549</Words>
  <Characters>22451</Characters>
  <Lines>3</Lines>
  <Paragraphs>4</Paragraphs>
  <TotalTime>1</TotalTime>
  <ScaleCrop>false</ScaleCrop>
  <LinksUpToDate>false</LinksUpToDate>
  <CharactersWithSpaces>23257</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2020-12-28T01:51:00Z</dcterms:created>
  <dcterms:modified xsi:type="dcterms:W3CDTF">2021-10-27T06:40:02Z</dcterms:modified>
  <dc:title>标准名称</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02D3307857494DF18A1944D263CAECCA</vt:lpwstr>
  </property>
</Properties>
</file>