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90871">
      <w:pPr>
        <w:spacing w:after="60"/>
      </w:pPr>
    </w:p>
    <w:p w14:paraId="0080080A">
      <w:pPr>
        <w:spacing w:after="60"/>
      </w:pPr>
    </w:p>
    <w:p w14:paraId="36939263">
      <w:pPr>
        <w:spacing w:after="60"/>
      </w:pPr>
    </w:p>
    <w:p w14:paraId="4AA644E3">
      <w:pPr>
        <w:spacing w:after="60"/>
      </w:pPr>
    </w:p>
    <w:p w14:paraId="58B9EA0C">
      <w:pPr>
        <w:spacing w:after="60"/>
      </w:pPr>
    </w:p>
    <w:p w14:paraId="1A6C08E8">
      <w:pPr>
        <w:spacing w:after="200"/>
        <w:jc w:val="center"/>
        <w:rPr>
          <w:color w:val="auto"/>
        </w:rPr>
      </w:pPr>
      <w:r>
        <w:rPr>
          <w:rFonts w:ascii="WenQuanYi Micro Hei" w:hAnsi="WenQuanYi Micro Hei" w:eastAsia="WenQuanYi Micro Hei" w:cs="WenQuanYi Micro Hei"/>
          <w:color w:val="auto"/>
          <w:sz w:val="28"/>
          <w:szCs w:val="28"/>
        </w:rPr>
        <w:t>T/GZX XXX—2026</w:t>
      </w:r>
    </w:p>
    <w:p w14:paraId="158A72B0">
      <w:pPr>
        <w:spacing w:after="60"/>
      </w:pPr>
      <w:bookmarkStart w:id="0" w:name="_GoBack"/>
      <w:bookmarkEnd w:id="0"/>
    </w:p>
    <w:p w14:paraId="1C186E69">
      <w:pPr>
        <w:spacing w:after="300"/>
        <w:jc w:val="center"/>
        <w:rPr>
          <w:color w:val="auto"/>
        </w:rPr>
      </w:pPr>
      <w:r>
        <w:rPr>
          <w:rFonts w:ascii="WenQuanYi Micro Hei" w:hAnsi="WenQuanYi Micro Hei" w:eastAsia="WenQuanYi Micro Hei" w:cs="WenQuanYi Micro Hei"/>
          <w:b/>
          <w:bCs/>
          <w:color w:val="auto"/>
          <w:sz w:val="40"/>
          <w:szCs w:val="40"/>
        </w:rPr>
        <w:t>基于大模型的中小企业服务知识库构建</w:t>
      </w:r>
    </w:p>
    <w:p w14:paraId="26BFD4DE">
      <w:pPr>
        <w:spacing w:after="400"/>
        <w:jc w:val="center"/>
        <w:rPr>
          <w:color w:val="auto"/>
        </w:rPr>
      </w:pPr>
      <w:r>
        <w:rPr>
          <w:rFonts w:ascii="WenQuanYi Micro Hei" w:hAnsi="WenQuanYi Micro Hei" w:eastAsia="WenQuanYi Micro Hei" w:cs="WenQuanYi Micro Hei"/>
          <w:b/>
          <w:bCs/>
          <w:color w:val="auto"/>
          <w:sz w:val="36"/>
          <w:szCs w:val="36"/>
        </w:rPr>
        <w:t>数据预处理与标注规范</w:t>
      </w:r>
    </w:p>
    <w:p w14:paraId="34596800">
      <w:pPr>
        <w:spacing w:after="60"/>
        <w:rPr>
          <w:color w:val="auto"/>
        </w:rPr>
      </w:pPr>
    </w:p>
    <w:p w14:paraId="016B0742">
      <w:pPr>
        <w:pBdr>
          <w:bottom w:val="single" w:color="2E75B6" w:sz="12" w:space="1"/>
        </w:pBdr>
        <w:spacing w:before="200" w:after="200"/>
        <w:jc w:val="center"/>
        <w:rPr>
          <w:color w:val="auto"/>
        </w:rPr>
      </w:pPr>
    </w:p>
    <w:p w14:paraId="55AD9CE5">
      <w:pPr>
        <w:spacing w:after="200"/>
        <w:jc w:val="center"/>
        <w:rPr>
          <w:color w:val="auto"/>
        </w:rPr>
      </w:pPr>
      <w:r>
        <w:rPr>
          <w:rFonts w:ascii="WenQuanYi Micro Hei" w:hAnsi="WenQuanYi Micro Hei" w:eastAsia="WenQuanYi Micro Hei" w:cs="WenQuanYi Micro Hei"/>
          <w:b/>
          <w:bCs/>
          <w:color w:val="auto"/>
          <w:sz w:val="36"/>
          <w:szCs w:val="36"/>
        </w:rPr>
        <w:t>编 制 说 明</w:t>
      </w:r>
    </w:p>
    <w:p w14:paraId="115D5A2C">
      <w:pPr>
        <w:spacing w:after="60"/>
      </w:pPr>
    </w:p>
    <w:p w14:paraId="16206799">
      <w:pPr>
        <w:spacing w:after="60"/>
      </w:pPr>
    </w:p>
    <w:p w14:paraId="368728CB">
      <w:pPr>
        <w:spacing w:after="60"/>
      </w:pPr>
    </w:p>
    <w:p w14:paraId="0C29FDB4">
      <w:pPr>
        <w:spacing w:after="60"/>
      </w:pPr>
    </w:p>
    <w:p w14:paraId="043AEF39">
      <w:pPr>
        <w:spacing w:after="60"/>
      </w:pPr>
    </w:p>
    <w:p w14:paraId="6117B905">
      <w:pPr>
        <w:spacing w:after="60"/>
      </w:pPr>
    </w:p>
    <w:tbl>
      <w:tblPr>
        <w:tblStyle w:val="11"/>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800"/>
        <w:gridCol w:w="6226"/>
      </w:tblGrid>
      <w:tr w14:paraId="101F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B0B0B0" w:sz="0" w:space="0"/>
              <w:left w:val="single" w:color="B0B0B0" w:sz="0" w:space="0"/>
              <w:bottom w:val="single" w:color="B0B0B0" w:sz="0" w:space="0"/>
              <w:right w:val="single" w:color="B0B0B0" w:sz="0" w:space="0"/>
            </w:tcBorders>
            <w:shd w:val="clear" w:color="auto" w:fill="D6E4F0"/>
            <w:tcMar>
              <w:top w:w="60" w:type="dxa"/>
              <w:left w:w="100" w:type="dxa"/>
              <w:bottom w:w="60" w:type="dxa"/>
              <w:right w:w="100" w:type="dxa"/>
            </w:tcMar>
            <w:vAlign w:val="center"/>
          </w:tcPr>
          <w:p w14:paraId="1F1D4F55">
            <w:pPr>
              <w:spacing w:after="0" w:line="280" w:lineRule="auto"/>
              <w:jc w:val="center"/>
            </w:pPr>
            <w:r>
              <w:rPr>
                <w:rFonts w:ascii="WenQuanYi Micro Hei" w:hAnsi="WenQuanYi Micro Hei" w:eastAsia="WenQuanYi Micro Hei" w:cs="WenQuanYi Micro Hei"/>
                <w:b/>
                <w:bCs/>
                <w:color w:val="000000"/>
                <w:sz w:val="22"/>
                <w:szCs w:val="22"/>
              </w:rPr>
              <w:t>标准编号</w:t>
            </w:r>
          </w:p>
        </w:tc>
        <w:tc>
          <w:tcPr>
            <w:tcW w:w="62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FDDAE08">
            <w:pPr>
              <w:spacing w:after="0" w:line="280" w:lineRule="auto"/>
              <w:jc w:val="left"/>
            </w:pPr>
            <w:r>
              <w:rPr>
                <w:rFonts w:ascii="WenQuanYi Micro Hei" w:hAnsi="WenQuanYi Micro Hei" w:eastAsia="WenQuanYi Micro Hei" w:cs="WenQuanYi Micro Hei"/>
                <w:b w:val="0"/>
                <w:bCs w:val="0"/>
                <w:color w:val="000000"/>
                <w:sz w:val="22"/>
                <w:szCs w:val="22"/>
              </w:rPr>
              <w:t>T/GZX XXX—2026</w:t>
            </w:r>
          </w:p>
        </w:tc>
      </w:tr>
      <w:tr w14:paraId="1A84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B0B0B0" w:sz="0" w:space="0"/>
              <w:left w:val="single" w:color="B0B0B0" w:sz="0" w:space="0"/>
              <w:bottom w:val="single" w:color="B0B0B0" w:sz="0" w:space="0"/>
              <w:right w:val="single" w:color="B0B0B0" w:sz="0" w:space="0"/>
            </w:tcBorders>
            <w:shd w:val="clear" w:color="auto" w:fill="D6E4F0"/>
            <w:tcMar>
              <w:top w:w="60" w:type="dxa"/>
              <w:left w:w="100" w:type="dxa"/>
              <w:bottom w:w="60" w:type="dxa"/>
              <w:right w:w="100" w:type="dxa"/>
            </w:tcMar>
            <w:vAlign w:val="center"/>
          </w:tcPr>
          <w:p w14:paraId="4FD2B270">
            <w:pPr>
              <w:spacing w:after="0" w:line="280" w:lineRule="auto"/>
              <w:jc w:val="center"/>
            </w:pPr>
            <w:r>
              <w:rPr>
                <w:rFonts w:ascii="WenQuanYi Micro Hei" w:hAnsi="WenQuanYi Micro Hei" w:eastAsia="WenQuanYi Micro Hei" w:cs="WenQuanYi Micro Hei"/>
                <w:b/>
                <w:bCs/>
                <w:color w:val="000000"/>
                <w:sz w:val="22"/>
                <w:szCs w:val="22"/>
              </w:rPr>
              <w:t>标准名称</w:t>
            </w:r>
          </w:p>
        </w:tc>
        <w:tc>
          <w:tcPr>
            <w:tcW w:w="62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02653585">
            <w:pPr>
              <w:spacing w:after="0" w:line="280" w:lineRule="auto"/>
              <w:jc w:val="left"/>
              <w:rPr>
                <w:rFonts w:ascii="WenQuanYi Micro Hei" w:hAnsi="WenQuanYi Micro Hei" w:eastAsia="WenQuanYi Micro Hei" w:cs="WenQuanYi Micro Hei"/>
                <w:b w:val="0"/>
                <w:bCs w:val="0"/>
                <w:color w:val="000000"/>
                <w:sz w:val="22"/>
                <w:szCs w:val="22"/>
              </w:rPr>
            </w:pPr>
            <w:r>
              <w:rPr>
                <w:rFonts w:ascii="WenQuanYi Micro Hei" w:hAnsi="WenQuanYi Micro Hei" w:eastAsia="WenQuanYi Micro Hei" w:cs="WenQuanYi Micro Hei"/>
                <w:b w:val="0"/>
                <w:bCs w:val="0"/>
                <w:color w:val="000000"/>
                <w:sz w:val="22"/>
                <w:szCs w:val="22"/>
              </w:rPr>
              <w:t>基于大模型的中小企业服务知识库构建数据预处理与标注规范</w:t>
            </w:r>
          </w:p>
        </w:tc>
      </w:tr>
      <w:tr w14:paraId="2F28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B0B0B0" w:sz="0" w:space="0"/>
              <w:left w:val="single" w:color="B0B0B0" w:sz="0" w:space="0"/>
              <w:bottom w:val="single" w:color="B0B0B0" w:sz="0" w:space="0"/>
              <w:right w:val="single" w:color="B0B0B0" w:sz="0" w:space="0"/>
            </w:tcBorders>
            <w:shd w:val="clear" w:color="auto" w:fill="D6E4F0"/>
            <w:tcMar>
              <w:top w:w="60" w:type="dxa"/>
              <w:left w:w="100" w:type="dxa"/>
              <w:bottom w:w="60" w:type="dxa"/>
              <w:right w:w="100" w:type="dxa"/>
            </w:tcMar>
            <w:vAlign w:val="center"/>
          </w:tcPr>
          <w:p w14:paraId="5DE9C319">
            <w:pPr>
              <w:spacing w:after="0" w:line="280" w:lineRule="auto"/>
              <w:jc w:val="center"/>
            </w:pPr>
            <w:r>
              <w:rPr>
                <w:rFonts w:ascii="WenQuanYi Micro Hei" w:hAnsi="WenQuanYi Micro Hei" w:eastAsia="WenQuanYi Micro Hei" w:cs="WenQuanYi Micro Hei"/>
                <w:b/>
                <w:bCs/>
                <w:color w:val="000000"/>
                <w:sz w:val="22"/>
                <w:szCs w:val="22"/>
              </w:rPr>
              <w:t>英文名称</w:t>
            </w:r>
          </w:p>
        </w:tc>
        <w:tc>
          <w:tcPr>
            <w:tcW w:w="62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16AFBF7">
            <w:pPr>
              <w:spacing w:after="0" w:line="280" w:lineRule="auto"/>
              <w:jc w:val="left"/>
              <w:rPr>
                <w:rFonts w:ascii="WenQuanYi Micro Hei" w:hAnsi="WenQuanYi Micro Hei" w:eastAsia="WenQuanYi Micro Hei" w:cs="WenQuanYi Micro Hei"/>
                <w:b w:val="0"/>
                <w:bCs w:val="0"/>
                <w:color w:val="000000"/>
                <w:sz w:val="22"/>
                <w:szCs w:val="22"/>
              </w:rPr>
            </w:pPr>
            <w:r>
              <w:rPr>
                <w:rFonts w:hint="eastAsia" w:ascii="WenQuanYi Micro Hei" w:hAnsi="WenQuanYi Micro Hei" w:eastAsia="WenQuanYi Micro Hei" w:cs="WenQuanYi Micro Hei"/>
                <w:b w:val="0"/>
                <w:bCs w:val="0"/>
                <w:color w:val="000000"/>
                <w:sz w:val="22"/>
                <w:szCs w:val="22"/>
                <w:lang w:eastAsia="zh-CN"/>
              </w:rPr>
              <w:t>Construction of an LLM-based Service Knowledge Base for SMEs: Data Preprocessing and Annotation Specifications</w:t>
            </w:r>
          </w:p>
        </w:tc>
      </w:tr>
      <w:tr w14:paraId="2706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B0B0B0" w:sz="0" w:space="0"/>
              <w:left w:val="single" w:color="B0B0B0" w:sz="0" w:space="0"/>
              <w:bottom w:val="single" w:color="B0B0B0" w:sz="0" w:space="0"/>
              <w:right w:val="single" w:color="B0B0B0" w:sz="0" w:space="0"/>
            </w:tcBorders>
            <w:shd w:val="clear" w:color="auto" w:fill="D6E4F0"/>
            <w:tcMar>
              <w:top w:w="60" w:type="dxa"/>
              <w:left w:w="100" w:type="dxa"/>
              <w:bottom w:w="60" w:type="dxa"/>
              <w:right w:w="100" w:type="dxa"/>
            </w:tcMar>
            <w:vAlign w:val="center"/>
          </w:tcPr>
          <w:p w14:paraId="5BCC60A5">
            <w:pPr>
              <w:spacing w:after="0" w:line="280" w:lineRule="auto"/>
              <w:jc w:val="center"/>
            </w:pPr>
            <w:r>
              <w:rPr>
                <w:rFonts w:ascii="WenQuanYi Micro Hei" w:hAnsi="WenQuanYi Micro Hei" w:eastAsia="WenQuanYi Micro Hei" w:cs="WenQuanYi Micro Hei"/>
                <w:b/>
                <w:bCs/>
                <w:color w:val="000000"/>
                <w:sz w:val="22"/>
                <w:szCs w:val="22"/>
              </w:rPr>
              <w:t>提出单位</w:t>
            </w:r>
          </w:p>
        </w:tc>
        <w:tc>
          <w:tcPr>
            <w:tcW w:w="62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2A230F8">
            <w:pPr>
              <w:spacing w:after="0" w:line="280" w:lineRule="auto"/>
              <w:jc w:val="left"/>
            </w:pPr>
            <w:r>
              <w:rPr>
                <w:rFonts w:ascii="WenQuanYi Micro Hei" w:hAnsi="WenQuanYi Micro Hei" w:eastAsia="WenQuanYi Micro Hei" w:cs="WenQuanYi Micro Hei"/>
                <w:b w:val="0"/>
                <w:bCs w:val="0"/>
                <w:color w:val="000000"/>
                <w:sz w:val="22"/>
                <w:szCs w:val="22"/>
              </w:rPr>
              <w:t>广东省中小企业服务中心</w:t>
            </w:r>
          </w:p>
        </w:tc>
      </w:tr>
      <w:tr w14:paraId="4161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B0B0B0" w:sz="0" w:space="0"/>
              <w:left w:val="single" w:color="B0B0B0" w:sz="0" w:space="0"/>
              <w:bottom w:val="single" w:color="B0B0B0" w:sz="0" w:space="0"/>
              <w:right w:val="single" w:color="B0B0B0" w:sz="0" w:space="0"/>
            </w:tcBorders>
            <w:shd w:val="clear" w:color="auto" w:fill="D6E4F0"/>
            <w:tcMar>
              <w:top w:w="60" w:type="dxa"/>
              <w:left w:w="100" w:type="dxa"/>
              <w:bottom w:w="60" w:type="dxa"/>
              <w:right w:w="100" w:type="dxa"/>
            </w:tcMar>
            <w:vAlign w:val="center"/>
          </w:tcPr>
          <w:p w14:paraId="249B6C03">
            <w:pPr>
              <w:spacing w:after="0" w:line="280" w:lineRule="auto"/>
              <w:jc w:val="center"/>
            </w:pPr>
            <w:r>
              <w:rPr>
                <w:rFonts w:ascii="WenQuanYi Micro Hei" w:hAnsi="WenQuanYi Micro Hei" w:eastAsia="WenQuanYi Micro Hei" w:cs="WenQuanYi Micro Hei"/>
                <w:b/>
                <w:bCs/>
                <w:color w:val="000000"/>
                <w:sz w:val="22"/>
                <w:szCs w:val="22"/>
              </w:rPr>
              <w:t>归口单位</w:t>
            </w:r>
          </w:p>
        </w:tc>
        <w:tc>
          <w:tcPr>
            <w:tcW w:w="62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1F40956">
            <w:pPr>
              <w:spacing w:after="0" w:line="280" w:lineRule="auto"/>
              <w:jc w:val="left"/>
            </w:pPr>
            <w:r>
              <w:rPr>
                <w:rFonts w:ascii="WenQuanYi Micro Hei" w:hAnsi="WenQuanYi Micro Hei" w:eastAsia="WenQuanYi Micro Hei" w:cs="WenQuanYi Micro Hei"/>
                <w:b w:val="0"/>
                <w:bCs w:val="0"/>
                <w:color w:val="000000"/>
                <w:sz w:val="22"/>
                <w:szCs w:val="22"/>
              </w:rPr>
              <w:t>广东省企业管理咨询协会</w:t>
            </w:r>
          </w:p>
        </w:tc>
      </w:tr>
      <w:tr w14:paraId="7BA1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B0B0B0" w:sz="0" w:space="0"/>
              <w:left w:val="single" w:color="B0B0B0" w:sz="0" w:space="0"/>
              <w:bottom w:val="single" w:color="B0B0B0" w:sz="0" w:space="0"/>
              <w:right w:val="single" w:color="B0B0B0" w:sz="0" w:space="0"/>
            </w:tcBorders>
            <w:shd w:val="clear" w:color="auto" w:fill="D6E4F0"/>
            <w:tcMar>
              <w:top w:w="60" w:type="dxa"/>
              <w:left w:w="100" w:type="dxa"/>
              <w:bottom w:w="60" w:type="dxa"/>
              <w:right w:w="100" w:type="dxa"/>
            </w:tcMar>
            <w:vAlign w:val="center"/>
          </w:tcPr>
          <w:p w14:paraId="48BBFA13">
            <w:pPr>
              <w:spacing w:after="0" w:line="280" w:lineRule="auto"/>
              <w:jc w:val="center"/>
            </w:pPr>
            <w:r>
              <w:rPr>
                <w:rFonts w:ascii="WenQuanYi Micro Hei" w:hAnsi="WenQuanYi Micro Hei" w:eastAsia="WenQuanYi Micro Hei" w:cs="WenQuanYi Micro Hei"/>
                <w:b/>
                <w:bCs/>
                <w:color w:val="000000"/>
                <w:sz w:val="22"/>
                <w:szCs w:val="22"/>
              </w:rPr>
              <w:t>发布日期</w:t>
            </w:r>
          </w:p>
        </w:tc>
        <w:tc>
          <w:tcPr>
            <w:tcW w:w="62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0E28A7F0">
            <w:pPr>
              <w:spacing w:after="0" w:line="280" w:lineRule="auto"/>
              <w:jc w:val="left"/>
            </w:pPr>
            <w:r>
              <w:rPr>
                <w:rFonts w:ascii="WenQuanYi Micro Hei" w:hAnsi="WenQuanYi Micro Hei" w:eastAsia="WenQuanYi Micro Hei" w:cs="WenQuanYi Micro Hei"/>
                <w:b w:val="0"/>
                <w:bCs w:val="0"/>
                <w:color w:val="000000"/>
                <w:sz w:val="22"/>
                <w:szCs w:val="22"/>
              </w:rPr>
              <w:t>2026年XX月XX日</w:t>
            </w:r>
          </w:p>
        </w:tc>
      </w:tr>
      <w:tr w14:paraId="3C31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B0B0B0" w:sz="0" w:space="0"/>
              <w:left w:val="single" w:color="B0B0B0" w:sz="0" w:space="0"/>
              <w:bottom w:val="single" w:color="B0B0B0" w:sz="0" w:space="0"/>
              <w:right w:val="single" w:color="B0B0B0" w:sz="0" w:space="0"/>
            </w:tcBorders>
            <w:shd w:val="clear" w:color="auto" w:fill="D6E4F0"/>
            <w:tcMar>
              <w:top w:w="60" w:type="dxa"/>
              <w:left w:w="100" w:type="dxa"/>
              <w:bottom w:w="60" w:type="dxa"/>
              <w:right w:w="100" w:type="dxa"/>
            </w:tcMar>
            <w:vAlign w:val="center"/>
          </w:tcPr>
          <w:p w14:paraId="4FEE3A57">
            <w:pPr>
              <w:spacing w:after="0" w:line="280" w:lineRule="auto"/>
              <w:jc w:val="center"/>
            </w:pPr>
            <w:r>
              <w:rPr>
                <w:rFonts w:ascii="WenQuanYi Micro Hei" w:hAnsi="WenQuanYi Micro Hei" w:eastAsia="WenQuanYi Micro Hei" w:cs="WenQuanYi Micro Hei"/>
                <w:b/>
                <w:bCs/>
                <w:color w:val="000000"/>
                <w:sz w:val="22"/>
                <w:szCs w:val="22"/>
              </w:rPr>
              <w:t>实施日期</w:t>
            </w:r>
          </w:p>
        </w:tc>
        <w:tc>
          <w:tcPr>
            <w:tcW w:w="62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2F966E95">
            <w:pPr>
              <w:spacing w:after="0" w:line="280" w:lineRule="auto"/>
              <w:jc w:val="left"/>
            </w:pPr>
            <w:r>
              <w:rPr>
                <w:rFonts w:ascii="WenQuanYi Micro Hei" w:hAnsi="WenQuanYi Micro Hei" w:eastAsia="WenQuanYi Micro Hei" w:cs="WenQuanYi Micro Hei"/>
                <w:b w:val="0"/>
                <w:bCs w:val="0"/>
                <w:color w:val="000000"/>
                <w:sz w:val="22"/>
                <w:szCs w:val="22"/>
              </w:rPr>
              <w:t>2026年XX月XX日</w:t>
            </w:r>
          </w:p>
        </w:tc>
      </w:tr>
    </w:tbl>
    <w:p w14:paraId="01A7662A">
      <w:r>
        <w:br w:type="page"/>
      </w:r>
    </w:p>
    <w:p w14:paraId="437675C6">
      <w:pPr>
        <w:pStyle w:val="2"/>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一、项目立项阶段</w:t>
      </w:r>
    </w:p>
    <w:p w14:paraId="4BECEA14">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立项前期，</w:t>
      </w:r>
      <w:r>
        <w:rPr>
          <w:rFonts w:hint="eastAsia" w:ascii="宋体" w:hAnsi="宋体" w:eastAsia="宋体" w:cs="宋体"/>
          <w:b/>
          <w:bCs/>
          <w:color w:val="auto"/>
          <w:sz w:val="24"/>
          <w:szCs w:val="24"/>
        </w:rPr>
        <w:t>广东省企业管理咨询协会</w:t>
      </w:r>
      <w:r>
        <w:rPr>
          <w:rFonts w:hint="eastAsia" w:ascii="宋体" w:hAnsi="宋体" w:eastAsia="宋体" w:cs="宋体"/>
          <w:color w:val="auto"/>
          <w:sz w:val="24"/>
          <w:szCs w:val="24"/>
        </w:rPr>
        <w:t>联合</w:t>
      </w:r>
      <w:r>
        <w:rPr>
          <w:rFonts w:hint="eastAsia" w:ascii="宋体" w:hAnsi="宋体" w:eastAsia="宋体" w:cs="宋体"/>
          <w:b/>
          <w:bCs/>
          <w:color w:val="auto"/>
          <w:sz w:val="24"/>
          <w:szCs w:val="24"/>
        </w:rPr>
        <w:t>广东省中小企业服务中心</w:t>
      </w:r>
      <w:r>
        <w:rPr>
          <w:rFonts w:hint="eastAsia" w:ascii="宋体" w:hAnsi="宋体" w:eastAsia="宋体" w:cs="宋体"/>
          <w:color w:val="auto"/>
          <w:sz w:val="24"/>
          <w:szCs w:val="24"/>
        </w:rPr>
        <w:t>，面向省内中小企业服务中心、行业企业、相关主管部门开展专项调研，系统梳理行业发展现状、服务短板、评审痛点及标准化需求，充分论证制定《基于大模型的中小企业服务知识库构建数据预处理与标注规范》的必要性、紧迫性与可行性。</w:t>
      </w:r>
    </w:p>
    <w:p w14:paraId="480C25C2">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1. 调研背景与范围</w:t>
      </w:r>
    </w:p>
    <w:p w14:paraId="420F638B">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随着中小企业公共服务体系的不断完善，各级主管部门和公共服务平台积累了海量的企业数据、服务资源数据和政策数据。然而，由于缺乏统一的数据预处理与标注规范，导致以下问题日益凸显：</w:t>
      </w:r>
    </w:p>
    <w:p w14:paraId="46177151">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数据质量参差不齐：不同来源的数据格式不一、标准各异，难以互联互通；</w:t>
      </w:r>
    </w:p>
    <w:p w14:paraId="6E05CCA2">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服务匹配效率低下：人工匹配耗时长、准确率低，企业获得感不强；</w:t>
      </w:r>
    </w:p>
    <w:p w14:paraId="4542DE17">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政策推送精准度不足：政策与企业画像之间缺乏有效的标签对齐机制；</w:t>
      </w:r>
    </w:p>
    <w:p w14:paraId="51498862">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大模型应用缺乏高质量知识供给：RAG（检索增强生成）效果受限于底层数据质量；</w:t>
      </w:r>
    </w:p>
    <w:p w14:paraId="5D3909B1">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知识图谱构建无标可依：行业内缺乏针对中小企业服务领域的数据治理标准。</w:t>
      </w:r>
    </w:p>
    <w:p w14:paraId="00F8986E">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2. 调研方式与对象</w:t>
      </w:r>
    </w:p>
    <w:p w14:paraId="6398ECFB">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本次调研采用问卷调查、实地走访、座谈交流、文献研究相结合的方式，覆盖以下对象：</w:t>
      </w:r>
    </w:p>
    <w:p w14:paraId="37D9C842">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主管部门：省工信厅、各地市中小企业主管部门；</w:t>
      </w:r>
    </w:p>
    <w:p w14:paraId="109499B1">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服务平台：省级以上中小企业公共服务示范平台；</w:t>
      </w:r>
    </w:p>
    <w:p w14:paraId="68F47F8E">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服务机构：管理咨询、信息技术、财税金融、法律等各类服务机构；</w:t>
      </w:r>
    </w:p>
    <w:p w14:paraId="2F9B12C7">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中小企业：覆盖制造业、服务业、农业等领域的代表性企业。</w:t>
      </w:r>
    </w:p>
    <w:p w14:paraId="451F934B">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3. 调研主要发现</w:t>
      </w:r>
    </w:p>
    <w:tbl>
      <w:tblPr>
        <w:tblStyle w:val="11"/>
        <w:tblW w:w="9026" w:type="dxa"/>
        <w:tblInd w:w="4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758"/>
        <w:gridCol w:w="2143"/>
        <w:gridCol w:w="6125"/>
      </w:tblGrid>
      <w:tr w14:paraId="6F18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8"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00C39956">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序号</w:t>
            </w:r>
          </w:p>
        </w:tc>
        <w:tc>
          <w:tcPr>
            <w:tcW w:w="2143"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18620073">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问题</w:t>
            </w:r>
          </w:p>
        </w:tc>
        <w:tc>
          <w:tcPr>
            <w:tcW w:w="6125"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642ACF73">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具体表现</w:t>
            </w:r>
          </w:p>
        </w:tc>
      </w:tr>
      <w:tr w14:paraId="497E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8"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B11CCD6">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1</w:t>
            </w:r>
          </w:p>
        </w:tc>
        <w:tc>
          <w:tcPr>
            <w:tcW w:w="2143"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D91EDF0">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数据标准缺失</w:t>
            </w:r>
          </w:p>
        </w:tc>
        <w:tc>
          <w:tcPr>
            <w:tcW w:w="6125"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8316F45">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85%的受访平台表示缺乏统一的数据字段标准，跨平台数据交换需大量人工转换</w:t>
            </w:r>
          </w:p>
        </w:tc>
      </w:tr>
      <w:tr w14:paraId="1006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8"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7EDAECDC">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w:t>
            </w:r>
          </w:p>
        </w:tc>
        <w:tc>
          <w:tcPr>
            <w:tcW w:w="2143"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6EE87F4A">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标注规范空白</w:t>
            </w:r>
          </w:p>
        </w:tc>
        <w:tc>
          <w:tcPr>
            <w:tcW w:w="6125"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00E33D39">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92%的服务机构表示不知道如何结构化描述服务产品，导致平台难以检索匹配</w:t>
            </w:r>
          </w:p>
        </w:tc>
      </w:tr>
      <w:tr w14:paraId="2A25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8"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BA798F2">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3</w:t>
            </w:r>
          </w:p>
        </w:tc>
        <w:tc>
          <w:tcPr>
            <w:tcW w:w="2143"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3E2A9AF7">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匹配准确率偏低</w:t>
            </w:r>
          </w:p>
        </w:tc>
        <w:tc>
          <w:tcPr>
            <w:tcW w:w="6125"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8C8A8DE">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人工匹配平均准确率仅62%，企业平均需等待4.2天才能获得服务推荐</w:t>
            </w:r>
          </w:p>
        </w:tc>
      </w:tr>
      <w:tr w14:paraId="2522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8"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450C4AC">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4</w:t>
            </w:r>
          </w:p>
        </w:tc>
        <w:tc>
          <w:tcPr>
            <w:tcW w:w="2143"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25434D5">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政策触达率不足</w:t>
            </w:r>
          </w:p>
        </w:tc>
        <w:tc>
          <w:tcPr>
            <w:tcW w:w="6125"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6E9E97A7">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仅31%的受访企业表示及时了解到适用政策，政策资源浪费严重</w:t>
            </w:r>
          </w:p>
        </w:tc>
      </w:tr>
      <w:tr w14:paraId="216D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8"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53AC978">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5</w:t>
            </w:r>
          </w:p>
        </w:tc>
        <w:tc>
          <w:tcPr>
            <w:tcW w:w="2143"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6CE7EAE">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大模型应用受阻</w:t>
            </w:r>
          </w:p>
        </w:tc>
        <w:tc>
          <w:tcPr>
            <w:tcW w:w="6125"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0354E2AA">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78%的平台表示因数据质量差，RAG检索效果不理想</w:t>
            </w:r>
          </w:p>
        </w:tc>
      </w:tr>
    </w:tbl>
    <w:p w14:paraId="5F5CCD11">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p>
    <w:p w14:paraId="2AB01223">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4. 立项必要性与可行性论证</w:t>
      </w:r>
    </w:p>
    <w:p w14:paraId="7D79A57E">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经研究，本标准符合广东省产业发展政策与行业治理方向，</w:t>
      </w:r>
      <w:r>
        <w:rPr>
          <w:rFonts w:hint="eastAsia" w:ascii="宋体" w:hAnsi="宋体" w:eastAsia="宋体" w:cs="宋体"/>
          <w:b/>
          <w:bCs/>
          <w:color w:val="auto"/>
          <w:sz w:val="24"/>
          <w:szCs w:val="24"/>
        </w:rPr>
        <w:t>能填补行业内针对中小企业服务领域知识图谱数据治理的空白</w:t>
      </w:r>
      <w:r>
        <w:rPr>
          <w:rFonts w:hint="eastAsia" w:ascii="宋体" w:hAnsi="宋体" w:eastAsia="宋体" w:cs="宋体"/>
          <w:color w:val="auto"/>
          <w:sz w:val="24"/>
          <w:szCs w:val="24"/>
        </w:rPr>
        <w:t>，对规范市场秩序、提升服务质量、培育优质机构具有重要支撑作用。具体体现在以下三个方面：</w:t>
      </w:r>
    </w:p>
    <w:p w14:paraId="0B283AE5">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政策契合度：本标准直接对接工信部企业〔2023〕213号文关于构建中小企业服务"四个库"的总体要求，是落实国家政策的必要技术支撑；</w:t>
      </w:r>
    </w:p>
    <w:p w14:paraId="2A877E80">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技术先进性：首次将大模型RAG技术与中小企业服务知识图谱相结合，引入"四库一图"架构，代表了行业技术发展方向；</w:t>
      </w:r>
    </w:p>
    <w:p w14:paraId="6FAC9B32">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实施可行性：调研显示全省已有67%的公共服务平台具备基本的数据采集能力，标准发布后可在6个月内完成改造升级。</w:t>
      </w:r>
    </w:p>
    <w:p w14:paraId="64A08292">
      <w:pPr>
        <w:keepNext w:val="0"/>
        <w:keepLines w:val="0"/>
        <w:pageBreakBefore w:val="0"/>
        <w:kinsoku/>
        <w:wordWrap/>
        <w:overflowPunct/>
        <w:topLinePunct w:val="0"/>
        <w:autoSpaceDE/>
        <w:autoSpaceDN/>
        <w:bidi w:val="0"/>
        <w:adjustRightInd/>
        <w:snapToGrid/>
        <w:spacing w:line="288" w:lineRule="auto"/>
        <w:ind w:firstLine="480"/>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立项建议：</w:t>
      </w:r>
      <w:r>
        <w:rPr>
          <w:rFonts w:hint="eastAsia" w:ascii="宋体" w:hAnsi="宋体" w:eastAsia="宋体" w:cs="宋体"/>
          <w:color w:val="auto"/>
          <w:sz w:val="24"/>
          <w:szCs w:val="24"/>
        </w:rPr>
        <w:t>建议立项，标准性质为团体标准，由广东省企业管理咨询协会归口管理。</w:t>
      </w:r>
    </w:p>
    <w:p w14:paraId="20F4295A">
      <w:pPr>
        <w:pStyle w:val="2"/>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二、理论研究阶段</w:t>
      </w:r>
    </w:p>
    <w:p w14:paraId="415C2CA6">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标准起草组成立伊始，就基于大模型的中小企业服务知识库构建进行了深入的调查研究，同时广泛搜集相关标准和国内外技术资料，进行了大量的研究分析、资料查证工作，确定了标准的制定原则，结合实际应用经验，为标准的起草奠定了基础。</w:t>
      </w:r>
    </w:p>
    <w:p w14:paraId="12F05717">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1. 国内外标准与技术资料搜集</w:t>
      </w:r>
    </w:p>
    <w:tbl>
      <w:tblPr>
        <w:tblStyle w:val="11"/>
        <w:tblW w:w="96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80"/>
        <w:gridCol w:w="2167"/>
        <w:gridCol w:w="6842"/>
      </w:tblGrid>
      <w:tr w14:paraId="782D3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0" w:type="dxa"/>
            <w:tcBorders>
              <w:top w:val="single" w:color="B0B0B0" w:sz="0" w:space="0"/>
              <w:left w:val="single" w:color="B0B0B0" w:sz="0" w:space="0"/>
              <w:bottom w:val="single" w:color="B0B0B0" w:sz="0" w:space="0"/>
              <w:right w:val="single" w:color="B0B0B0" w:sz="0" w:space="0"/>
            </w:tcBorders>
            <w:shd w:val="clear" w:color="auto" w:fill="1F3864"/>
            <w:tcMar>
              <w:top w:w="60" w:type="dxa"/>
              <w:left w:w="80" w:type="dxa"/>
              <w:bottom w:w="60" w:type="dxa"/>
              <w:right w:w="80" w:type="dxa"/>
            </w:tcMar>
            <w:vAlign w:val="center"/>
          </w:tcPr>
          <w:p w14:paraId="0A8B5173">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编号</w:t>
            </w:r>
          </w:p>
        </w:tc>
        <w:tc>
          <w:tcPr>
            <w:tcW w:w="2167"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4F3CEE5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标准编号</w:t>
            </w:r>
          </w:p>
        </w:tc>
        <w:tc>
          <w:tcPr>
            <w:tcW w:w="6842"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66DBA733">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标准名称</w:t>
            </w:r>
          </w:p>
        </w:tc>
      </w:tr>
      <w:tr w14:paraId="7497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11FE07B">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[1]</w:t>
            </w:r>
          </w:p>
        </w:tc>
        <w:tc>
          <w:tcPr>
            <w:tcW w:w="2167"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30EEB85C">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GB/T 1.1-2020</w:t>
            </w:r>
          </w:p>
        </w:tc>
        <w:tc>
          <w:tcPr>
            <w:tcW w:w="6842"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5C0617F3">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标准化工作导则 第1部分：标准化文件的结构和起草规则</w:t>
            </w:r>
          </w:p>
        </w:tc>
      </w:tr>
      <w:tr w14:paraId="4303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47EAF42">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w:t>
            </w:r>
          </w:p>
        </w:tc>
        <w:tc>
          <w:tcPr>
            <w:tcW w:w="2167"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3744C95E">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GB/T 35273</w:t>
            </w:r>
          </w:p>
        </w:tc>
        <w:tc>
          <w:tcPr>
            <w:tcW w:w="6842"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1744B34">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信息安全技术 个人信息安全规范</w:t>
            </w:r>
          </w:p>
        </w:tc>
      </w:tr>
      <w:tr w14:paraId="274E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2179CCB">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[3]</w:t>
            </w:r>
          </w:p>
        </w:tc>
        <w:tc>
          <w:tcPr>
            <w:tcW w:w="2167"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A041591">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GB/T 36344-2018</w:t>
            </w:r>
          </w:p>
        </w:tc>
        <w:tc>
          <w:tcPr>
            <w:tcW w:w="6842"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62AFDC41">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信息技术 数据质量评价指标</w:t>
            </w:r>
          </w:p>
        </w:tc>
      </w:tr>
      <w:tr w14:paraId="0754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468F066">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[4]</w:t>
            </w:r>
          </w:p>
        </w:tc>
        <w:tc>
          <w:tcPr>
            <w:tcW w:w="2167"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65BC239F">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GB/T 37964</w:t>
            </w:r>
          </w:p>
        </w:tc>
        <w:tc>
          <w:tcPr>
            <w:tcW w:w="6842"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242D8844">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信息安全技术 数据去标识化指南</w:t>
            </w:r>
          </w:p>
        </w:tc>
      </w:tr>
      <w:tr w14:paraId="238C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22F375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[5]</w:t>
            </w:r>
          </w:p>
        </w:tc>
        <w:tc>
          <w:tcPr>
            <w:tcW w:w="2167"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46F9DE8">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GB/T 42131-2022</w:t>
            </w:r>
          </w:p>
        </w:tc>
        <w:tc>
          <w:tcPr>
            <w:tcW w:w="6842"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3636CCA">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人工智能 知识图谱技术框架</w:t>
            </w:r>
          </w:p>
        </w:tc>
      </w:tr>
      <w:tr w14:paraId="5031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24AEB0A4">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[6]</w:t>
            </w:r>
          </w:p>
        </w:tc>
        <w:tc>
          <w:tcPr>
            <w:tcW w:w="2167"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74690657">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工信部企业〔2023〕213号</w:t>
            </w:r>
          </w:p>
        </w:tc>
        <w:tc>
          <w:tcPr>
            <w:tcW w:w="6842"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B60866A">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关于健全中小企业公共服务体系的指导意见</w:t>
            </w:r>
          </w:p>
        </w:tc>
      </w:tr>
      <w:tr w14:paraId="7397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0C9E1F9A">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[7]</w:t>
            </w:r>
          </w:p>
        </w:tc>
        <w:tc>
          <w:tcPr>
            <w:tcW w:w="2167"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629BF1B4">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GB/T 45674-2025</w:t>
            </w:r>
          </w:p>
        </w:tc>
        <w:tc>
          <w:tcPr>
            <w:tcW w:w="6842"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5FEA8D6">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网络安全技术 生成式人工智能数据标注安全规范</w:t>
            </w:r>
          </w:p>
        </w:tc>
      </w:tr>
      <w:tr w14:paraId="239FB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5074D2D">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[8]</w:t>
            </w:r>
          </w:p>
        </w:tc>
        <w:tc>
          <w:tcPr>
            <w:tcW w:w="2167"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4A6A268">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GB/T 45652-2025</w:t>
            </w:r>
          </w:p>
        </w:tc>
        <w:tc>
          <w:tcPr>
            <w:tcW w:w="6842"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15D62630">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网络安全技术 生成式人工智能预训练和优化训练数据安全规范</w:t>
            </w:r>
          </w:p>
        </w:tc>
      </w:tr>
      <w:tr w14:paraId="21C6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52FA4248">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[9]</w:t>
            </w:r>
          </w:p>
        </w:tc>
        <w:tc>
          <w:tcPr>
            <w:tcW w:w="2167"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52A17446">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ISO/IEC 25012</w:t>
            </w:r>
          </w:p>
        </w:tc>
        <w:tc>
          <w:tcPr>
            <w:tcW w:w="6842"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7AE630B">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Software engineering — Data quality model（国际参考）</w:t>
            </w:r>
          </w:p>
        </w:tc>
      </w:tr>
    </w:tbl>
    <w:p w14:paraId="6AA32C3A">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p>
    <w:p w14:paraId="144AADFF">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2. 核心问题研究与分析</w:t>
      </w:r>
    </w:p>
    <w:p w14:paraId="414623FC">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标准起草组进一步研究了基于大模型的中小企业服务知识库构建的主要特点，明确了要求和指标，为标准的具体起草指明了方向。重点研究了以下核心问题：</w:t>
      </w:r>
    </w:p>
    <w:p w14:paraId="109203E5">
      <w:pPr>
        <w:pStyle w:val="16"/>
        <w:keepNext w:val="0"/>
        <w:keepLines w:val="0"/>
        <w:pageBreakBefore w:val="0"/>
        <w:numPr>
          <w:ilvl w:val="0"/>
          <w:numId w:val="2"/>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中小企业服务分类体系研究：分析现有11类服务分类（附件1版）与知识图谱实体建模的映射关系，最终扩展为15个一级分类、101个二级分类的完整体系；</w:t>
      </w:r>
    </w:p>
    <w:p w14:paraId="7194EA9A">
      <w:pPr>
        <w:pStyle w:val="16"/>
        <w:keepNext w:val="0"/>
        <w:keepLines w:val="0"/>
        <w:pageBreakBefore w:val="0"/>
        <w:numPr>
          <w:ilvl w:val="0"/>
          <w:numId w:val="2"/>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企业画像标签体系研究：基于工信部中小企业划型标准，结合数字化水平、创新能力、融资需求等维度，设计12大类70余项企业库标签；</w:t>
      </w:r>
    </w:p>
    <w:p w14:paraId="1657E475">
      <w:pPr>
        <w:pStyle w:val="16"/>
        <w:keepNext w:val="0"/>
        <w:keepLines w:val="0"/>
        <w:pageBreakBefore w:val="0"/>
        <w:numPr>
          <w:ilvl w:val="0"/>
          <w:numId w:val="2"/>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数据预处理流水线研究：调研国内外主流数据预处理框架（Apache Spark、Pandas等），结合LLM应用场景，确定"采集→解析→清洗→脱敏→切片→结构化"六步标准化流程；</w:t>
      </w:r>
    </w:p>
    <w:p w14:paraId="413FE63D">
      <w:pPr>
        <w:pStyle w:val="16"/>
        <w:keepNext w:val="0"/>
        <w:keepLines w:val="0"/>
        <w:pageBreakBefore w:val="0"/>
        <w:numPr>
          <w:ilvl w:val="0"/>
          <w:numId w:val="2"/>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标注规范与质量控制研究：参考GB/T 45674-2025《生成式人工智能数据标注安全规范》，设计"AI初标→人工复核→专家仲裁→入库"四级标注流程；</w:t>
      </w:r>
    </w:p>
    <w:p w14:paraId="57C12BA6">
      <w:pPr>
        <w:pStyle w:val="16"/>
        <w:keepNext w:val="0"/>
        <w:keepLines w:val="0"/>
        <w:pageBreakBefore w:val="0"/>
        <w:numPr>
          <w:ilvl w:val="0"/>
          <w:numId w:val="2"/>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供需匹配算法研究：对比协同过滤、内容推荐、知识图谱推理等算法，确定"标签倒排+向量语义"混合检索的技术路线；</w:t>
      </w:r>
    </w:p>
    <w:p w14:paraId="6DA86F67">
      <w:pPr>
        <w:pStyle w:val="16"/>
        <w:keepNext w:val="0"/>
        <w:keepLines w:val="0"/>
        <w:pageBreakBefore w:val="0"/>
        <w:numPr>
          <w:ilvl w:val="0"/>
          <w:numId w:val="2"/>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数据安全与合规研究：全面对标《网络安全法》《数据安全法》《个人信息保护法》，建立L1-L4四级数据分类分级体系。</w:t>
      </w:r>
    </w:p>
    <w:p w14:paraId="4C829A38">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3. 标准制定原则确定</w:t>
      </w:r>
    </w:p>
    <w:p w14:paraId="4F00BF01">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经过充分研究论证，标准起草组确定了以下五项制定原则：</w:t>
      </w:r>
    </w:p>
    <w:tbl>
      <w:tblPr>
        <w:tblStyle w:val="11"/>
        <w:tblW w:w="9406" w:type="dxa"/>
        <w:tblInd w:w="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80"/>
        <w:gridCol w:w="1500"/>
        <w:gridCol w:w="6926"/>
      </w:tblGrid>
      <w:tr w14:paraId="00CF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80" w:type="dxa"/>
            <w:tcBorders>
              <w:top w:val="single" w:color="B0B0B0" w:sz="0" w:space="0"/>
              <w:left w:val="single" w:color="B0B0B0" w:sz="0" w:space="0"/>
              <w:bottom w:val="single" w:color="B0B0B0" w:sz="0" w:space="0"/>
              <w:right w:val="single" w:color="B0B0B0" w:sz="0" w:space="0"/>
            </w:tcBorders>
            <w:shd w:val="clear" w:color="auto" w:fill="1F3864"/>
            <w:tcMar>
              <w:top w:w="60" w:type="dxa"/>
              <w:left w:w="80" w:type="dxa"/>
              <w:bottom w:w="60" w:type="dxa"/>
              <w:right w:w="80" w:type="dxa"/>
            </w:tcMar>
            <w:vAlign w:val="center"/>
          </w:tcPr>
          <w:p w14:paraId="3F4B0D2F">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编号</w:t>
            </w:r>
          </w:p>
        </w:tc>
        <w:tc>
          <w:tcPr>
            <w:tcW w:w="1500"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2616E998">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原则名称</w:t>
            </w:r>
          </w:p>
        </w:tc>
        <w:tc>
          <w:tcPr>
            <w:tcW w:w="6926"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619B1ABB">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核心内涵</w:t>
            </w:r>
          </w:p>
        </w:tc>
      </w:tr>
      <w:tr w14:paraId="0DDC0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8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B95D935">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原则一</w:t>
            </w:r>
          </w:p>
        </w:tc>
        <w:tc>
          <w:tcPr>
            <w:tcW w:w="15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342F647E">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权威可信</w:t>
            </w:r>
          </w:p>
        </w:tc>
        <w:tc>
          <w:tcPr>
            <w:tcW w:w="69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6474F100">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数据来源合法权威，分类编码对接国家标准，入库出库标准公开透明</w:t>
            </w:r>
          </w:p>
        </w:tc>
      </w:tr>
      <w:tr w14:paraId="6300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8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7E8B77C">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原则二</w:t>
            </w:r>
          </w:p>
        </w:tc>
        <w:tc>
          <w:tcPr>
            <w:tcW w:w="15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3F129B84">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开放兼容</w:t>
            </w:r>
          </w:p>
        </w:tc>
        <w:tc>
          <w:tcPr>
            <w:tcW w:w="69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745C9FB2">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数据格式与接口遵循国家/行业通用规范，支持跨平台资源共享</w:t>
            </w:r>
          </w:p>
        </w:tc>
      </w:tr>
      <w:tr w14:paraId="2E0D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8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B080A01">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原则三</w:t>
            </w:r>
          </w:p>
        </w:tc>
        <w:tc>
          <w:tcPr>
            <w:tcW w:w="15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09203A06">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价值导向</w:t>
            </w:r>
          </w:p>
        </w:tc>
        <w:tc>
          <w:tcPr>
            <w:tcW w:w="69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F9F173E">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以"需求诊断→服务匹配→政策推送→效果反馈"为业务主线</w:t>
            </w:r>
          </w:p>
        </w:tc>
      </w:tr>
      <w:tr w14:paraId="1A8F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8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2DEC1A4B">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原则四</w:t>
            </w:r>
          </w:p>
        </w:tc>
        <w:tc>
          <w:tcPr>
            <w:tcW w:w="15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A55654E">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安全合规</w:t>
            </w:r>
          </w:p>
        </w:tc>
        <w:tc>
          <w:tcPr>
            <w:tcW w:w="69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1B6895B6">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严格遵循三法一条例，落实数据分级分类与脱敏要求</w:t>
            </w:r>
          </w:p>
        </w:tc>
      </w:tr>
      <w:tr w14:paraId="18FD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8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0AF385DF">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原则五</w:t>
            </w:r>
          </w:p>
        </w:tc>
        <w:tc>
          <w:tcPr>
            <w:tcW w:w="15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594C211D">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动态演进</w:t>
            </w:r>
          </w:p>
        </w:tc>
        <w:tc>
          <w:tcPr>
            <w:tcW w:w="69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22B4374D">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预留扩容空间，支持标准体系随技术和业务迭代更新</w:t>
            </w:r>
          </w:p>
        </w:tc>
      </w:tr>
    </w:tbl>
    <w:p w14:paraId="0FA7CCB5">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三、标准起草阶段</w:t>
      </w:r>
    </w:p>
    <w:p w14:paraId="376A7874">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在理论研究基础上，起草组在标准编制过程中充分借鉴已有的理论研究和实践成果，经过数次修改，形成了《基于大模型的中小企业服务知识库构建数据预处理与标注规范》标准草案稿。</w:t>
      </w:r>
    </w:p>
    <w:p w14:paraId="52C531FC">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p>
    <w:p w14:paraId="54C16C9F">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1. 起草过程</w:t>
      </w:r>
    </w:p>
    <w:tbl>
      <w:tblPr>
        <w:tblStyle w:val="11"/>
        <w:tblW w:w="9026" w:type="dxa"/>
        <w:tblInd w:w="3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447"/>
        <w:gridCol w:w="1400"/>
        <w:gridCol w:w="6179"/>
      </w:tblGrid>
      <w:tr w14:paraId="143B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47" w:type="dxa"/>
            <w:tcBorders>
              <w:top w:val="single" w:color="B0B0B0" w:sz="0" w:space="0"/>
              <w:left w:val="single" w:color="B0B0B0" w:sz="0" w:space="0"/>
              <w:bottom w:val="single" w:color="B0B0B0" w:sz="0" w:space="0"/>
              <w:right w:val="single" w:color="B0B0B0" w:sz="0" w:space="0"/>
            </w:tcBorders>
            <w:shd w:val="clear" w:color="auto" w:fill="1F3864"/>
            <w:tcMar>
              <w:top w:w="60" w:type="dxa"/>
              <w:left w:w="80" w:type="dxa"/>
              <w:bottom w:w="60" w:type="dxa"/>
              <w:right w:w="80" w:type="dxa"/>
            </w:tcMar>
            <w:vAlign w:val="center"/>
          </w:tcPr>
          <w:p w14:paraId="4EA3727B">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时间</w:t>
            </w:r>
          </w:p>
        </w:tc>
        <w:tc>
          <w:tcPr>
            <w:tcW w:w="1400"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47F1B4D8">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阶段</w:t>
            </w:r>
          </w:p>
        </w:tc>
        <w:tc>
          <w:tcPr>
            <w:tcW w:w="6179"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78CC5780">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主要工作</w:t>
            </w:r>
          </w:p>
        </w:tc>
      </w:tr>
      <w:tr w14:paraId="1950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47"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A117869">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2025.10-12</w:t>
            </w:r>
          </w:p>
        </w:tc>
        <w:tc>
          <w:tcPr>
            <w:tcW w:w="14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A3436CD">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框架设计</w:t>
            </w:r>
          </w:p>
        </w:tc>
        <w:tc>
          <w:tcPr>
            <w:tcW w:w="6179"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CB188DF">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确定"四库一图"总体架构，完成标准大纲设计，明确各章节内容边界</w:t>
            </w:r>
          </w:p>
        </w:tc>
      </w:tr>
      <w:tr w14:paraId="175E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47"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5CDFBF2">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2026.01-02</w:t>
            </w:r>
          </w:p>
        </w:tc>
        <w:tc>
          <w:tcPr>
            <w:tcW w:w="14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45976C7">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初稿撰写</w:t>
            </w:r>
          </w:p>
        </w:tc>
        <w:tc>
          <w:tcPr>
            <w:tcW w:w="6179"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64CB7AAA">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完成标准正文（第1-11章）初稿，同步起草附录A-D（分类与标签表）</w:t>
            </w:r>
          </w:p>
        </w:tc>
      </w:tr>
      <w:tr w14:paraId="4A57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47"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2B4BF8D2">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lang w:eastAsia="zh-CN"/>
              </w:rPr>
            </w:pPr>
            <w:r>
              <w:rPr>
                <w:rFonts w:hint="eastAsia" w:ascii="宋体" w:hAnsi="宋体" w:eastAsia="宋体" w:cs="宋体"/>
                <w:b w:val="0"/>
                <w:bCs w:val="0"/>
                <w:color w:val="auto"/>
                <w:sz w:val="24"/>
                <w:szCs w:val="24"/>
              </w:rPr>
              <w:t>2026.0</w:t>
            </w:r>
            <w:r>
              <w:rPr>
                <w:rFonts w:hint="eastAsia" w:ascii="宋体" w:hAnsi="宋体" w:eastAsia="宋体" w:cs="宋体"/>
                <w:b w:val="0"/>
                <w:bCs w:val="0"/>
                <w:color w:val="auto"/>
                <w:sz w:val="24"/>
                <w:szCs w:val="24"/>
                <w:lang w:val="en-US" w:eastAsia="zh-CN"/>
              </w:rPr>
              <w:t>7</w:t>
            </w:r>
          </w:p>
        </w:tc>
        <w:tc>
          <w:tcPr>
            <w:tcW w:w="14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6843FA9B">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内部评审</w:t>
            </w:r>
          </w:p>
        </w:tc>
        <w:tc>
          <w:tcPr>
            <w:tcW w:w="6179"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63014530">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起草组内部交叉审阅</w:t>
            </w:r>
            <w:r>
              <w:rPr>
                <w:rFonts w:hint="eastAsia" w:ascii="宋体" w:hAnsi="宋体" w:eastAsia="宋体" w:cs="宋体"/>
                <w:b w:val="0"/>
                <w:bCs w:val="0"/>
                <w:color w:val="auto"/>
                <w:sz w:val="24"/>
                <w:szCs w:val="24"/>
                <w:lang w:val="en-US" w:eastAsia="zh-CN"/>
              </w:rPr>
              <w:t>8</w:t>
            </w:r>
            <w:r>
              <w:rPr>
                <w:rFonts w:hint="eastAsia" w:ascii="宋体" w:hAnsi="宋体" w:eastAsia="宋体" w:cs="宋体"/>
                <w:b w:val="0"/>
                <w:bCs w:val="0"/>
                <w:color w:val="auto"/>
                <w:sz w:val="24"/>
                <w:szCs w:val="24"/>
              </w:rPr>
              <w:t>轮，修改技术表述不一致、字段定义模糊等问题47处</w:t>
            </w:r>
          </w:p>
        </w:tc>
      </w:tr>
      <w:tr w14:paraId="2BC1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47"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2A10129F">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2026.0</w:t>
            </w:r>
            <w:r>
              <w:rPr>
                <w:rFonts w:hint="eastAsia" w:ascii="宋体" w:hAnsi="宋体" w:eastAsia="宋体" w:cs="宋体"/>
                <w:b w:val="0"/>
                <w:bCs w:val="0"/>
                <w:color w:val="auto"/>
                <w:sz w:val="24"/>
                <w:szCs w:val="24"/>
                <w:lang w:val="en-US" w:eastAsia="zh-CN"/>
              </w:rPr>
              <w:t>8</w:t>
            </w:r>
            <w:r>
              <w:rPr>
                <w:rFonts w:hint="eastAsia" w:ascii="宋体" w:hAnsi="宋体" w:eastAsia="宋体" w:cs="宋体"/>
                <w:b w:val="0"/>
                <w:bCs w:val="0"/>
                <w:color w:val="auto"/>
                <w:sz w:val="24"/>
                <w:szCs w:val="24"/>
              </w:rPr>
              <w:t>上</w:t>
            </w:r>
          </w:p>
        </w:tc>
        <w:tc>
          <w:tcPr>
            <w:tcW w:w="14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418E00D">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专家研讨</w:t>
            </w:r>
          </w:p>
        </w:tc>
        <w:tc>
          <w:tcPr>
            <w:tcW w:w="6179"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330E27B6">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召开专家研讨会（共邀请</w:t>
            </w:r>
            <w:r>
              <w:rPr>
                <w:rFonts w:hint="eastAsia" w:ascii="宋体" w:hAnsi="宋体" w:eastAsia="宋体" w:cs="宋体"/>
                <w:b w:val="0"/>
                <w:bCs w:val="0"/>
                <w:color w:val="auto"/>
                <w:sz w:val="24"/>
                <w:szCs w:val="24"/>
                <w:lang w:val="en-US" w:eastAsia="zh-CN"/>
              </w:rPr>
              <w:t>7</w:t>
            </w:r>
            <w:r>
              <w:rPr>
                <w:rFonts w:hint="eastAsia" w:ascii="宋体" w:hAnsi="宋体" w:eastAsia="宋体" w:cs="宋体"/>
                <w:b w:val="0"/>
                <w:bCs w:val="0"/>
                <w:color w:val="auto"/>
                <w:sz w:val="24"/>
                <w:szCs w:val="24"/>
              </w:rPr>
              <w:t>位专家），重点讨论分类体系合理性与标注流程可操作性</w:t>
            </w:r>
          </w:p>
        </w:tc>
      </w:tr>
      <w:tr w14:paraId="07318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47"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3F1F028">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2026.0</w:t>
            </w:r>
            <w:r>
              <w:rPr>
                <w:rFonts w:hint="eastAsia" w:ascii="宋体" w:hAnsi="宋体" w:eastAsia="宋体" w:cs="宋体"/>
                <w:b w:val="0"/>
                <w:bCs w:val="0"/>
                <w:color w:val="auto"/>
                <w:sz w:val="24"/>
                <w:szCs w:val="24"/>
                <w:lang w:val="en-US" w:eastAsia="zh-CN"/>
              </w:rPr>
              <w:t>8</w:t>
            </w:r>
            <w:r>
              <w:rPr>
                <w:rFonts w:hint="eastAsia" w:ascii="宋体" w:hAnsi="宋体" w:eastAsia="宋体" w:cs="宋体"/>
                <w:b w:val="0"/>
                <w:bCs w:val="0"/>
                <w:color w:val="auto"/>
                <w:sz w:val="24"/>
                <w:szCs w:val="24"/>
              </w:rPr>
              <w:t>下</w:t>
            </w:r>
          </w:p>
        </w:tc>
        <w:tc>
          <w:tcPr>
            <w:tcW w:w="14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3D6F7033">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草案定稿</w:t>
            </w:r>
          </w:p>
        </w:tc>
        <w:tc>
          <w:tcPr>
            <w:tcW w:w="6179"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2D0E8A1">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吸收专家意见后形成《标准草案（第一稿）》，提交归口单位审查</w:t>
            </w:r>
          </w:p>
        </w:tc>
      </w:tr>
    </w:tbl>
    <w:p w14:paraId="6263260A">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p>
    <w:p w14:paraId="0985708A">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2. 起草过程中的关键技术决策</w:t>
      </w:r>
    </w:p>
    <w:p w14:paraId="5E0E3CBC">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在标准起草过程中，起草组对以下关键技术问题进行了深入研究并作出决策：</w:t>
      </w:r>
    </w:p>
    <w:p w14:paraId="7CD5BC53">
      <w:pPr>
        <w:pStyle w:val="16"/>
        <w:keepNext w:val="0"/>
        <w:keepLines w:val="0"/>
        <w:pageBreakBefore w:val="0"/>
        <w:numPr>
          <w:numId w:val="0"/>
        </w:numPr>
        <w:kinsoku/>
        <w:wordWrap/>
        <w:overflowPunct/>
        <w:topLinePunct w:val="0"/>
        <w:autoSpaceDE/>
        <w:autoSpaceDN/>
        <w:bidi w:val="0"/>
        <w:adjustRightInd/>
        <w:snapToGrid/>
        <w:spacing w:line="288" w:lineRule="auto"/>
        <w:ind w:left="36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服务分类体系从11类扩展至15类：将原"市场营销"拆分为"市场开拓"与"AI服务"，新增"数据服务""国际化与跨境服务"等新兴领域，使分类体系更完整；</w:t>
      </w:r>
    </w:p>
    <w:p w14:paraId="342D0654">
      <w:pPr>
        <w:pStyle w:val="16"/>
        <w:keepNext w:val="0"/>
        <w:keepLines w:val="0"/>
        <w:pageBreakBefore w:val="0"/>
        <w:numPr>
          <w:numId w:val="0"/>
        </w:numPr>
        <w:kinsoku/>
        <w:wordWrap/>
        <w:overflowPunct/>
        <w:topLinePunct w:val="0"/>
        <w:autoSpaceDE/>
        <w:autoSpaceDN/>
        <w:bidi w:val="0"/>
        <w:adjustRightInd/>
        <w:snapToGrid/>
        <w:spacing w:line="288" w:lineRule="auto"/>
        <w:ind w:left="36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知识库架构采用"结构化+图+向量"三引擎：兼顾事务处理、关系推理和语义检索三类需求，避免单一存储方案的局限性；</w:t>
      </w:r>
    </w:p>
    <w:p w14:paraId="138D3781">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3. 与前版附件1的差异说明</w:t>
      </w:r>
    </w:p>
    <w:p w14:paraId="6A5A5A21">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本标准附录A的服务分类体系，是在前期"附件1"（11个一级领域、89个子项）基础上全面升级而来。主要差异如下：</w:t>
      </w:r>
    </w:p>
    <w:tbl>
      <w:tblPr>
        <w:tblStyle w:val="11"/>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400"/>
        <w:gridCol w:w="2353"/>
        <w:gridCol w:w="4273"/>
      </w:tblGrid>
      <w:tr w14:paraId="4691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00"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16E2ADFA">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对比项</w:t>
            </w:r>
          </w:p>
        </w:tc>
        <w:tc>
          <w:tcPr>
            <w:tcW w:w="2353"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7A8309D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附件1（旧版）</w:t>
            </w:r>
          </w:p>
        </w:tc>
        <w:tc>
          <w:tcPr>
            <w:tcW w:w="4273"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75375A4D">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本标准（新版）</w:t>
            </w:r>
          </w:p>
        </w:tc>
      </w:tr>
      <w:tr w14:paraId="5961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449EDF3">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一级分类数</w:t>
            </w:r>
          </w:p>
        </w:tc>
        <w:tc>
          <w:tcPr>
            <w:tcW w:w="2353"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5AF85CC">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11个</w:t>
            </w:r>
          </w:p>
        </w:tc>
        <w:tc>
          <w:tcPr>
            <w:tcW w:w="4273"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0F80B33">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15个（新增数据服务、AI服务、国际化与跨境服务等）</w:t>
            </w:r>
          </w:p>
        </w:tc>
      </w:tr>
      <w:tr w14:paraId="154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4B1508A">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二级分类数</w:t>
            </w:r>
          </w:p>
        </w:tc>
        <w:tc>
          <w:tcPr>
            <w:tcW w:w="2353"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671E559B">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89个</w:t>
            </w:r>
          </w:p>
        </w:tc>
        <w:tc>
          <w:tcPr>
            <w:tcW w:w="4273"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5182D18">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101个</w:t>
            </w:r>
          </w:p>
        </w:tc>
      </w:tr>
      <w:tr w14:paraId="6E13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DFF8C3C">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分类节点总数</w:t>
            </w:r>
          </w:p>
        </w:tc>
        <w:tc>
          <w:tcPr>
            <w:tcW w:w="2353"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5299B34D">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89个</w:t>
            </w:r>
          </w:p>
        </w:tc>
        <w:tc>
          <w:tcPr>
            <w:tcW w:w="4273"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9BC5445">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116个</w:t>
            </w:r>
          </w:p>
        </w:tc>
      </w:tr>
      <w:tr w14:paraId="2194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77563E05">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编码规则</w:t>
            </w:r>
          </w:p>
        </w:tc>
        <w:tc>
          <w:tcPr>
            <w:tcW w:w="2353"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89253FB">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纯数字编号</w:t>
            </w:r>
          </w:p>
        </w:tc>
        <w:tc>
          <w:tcPr>
            <w:tcW w:w="4273"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79473306">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字母+数字混合编码（如A01、M13）</w:t>
            </w:r>
          </w:p>
        </w:tc>
      </w:tr>
      <w:tr w14:paraId="587F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75B7521">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兜底机制</w:t>
            </w:r>
          </w:p>
        </w:tc>
        <w:tc>
          <w:tcPr>
            <w:tcW w:w="2353"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529C27F7">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部分类别无兜底</w:t>
            </w:r>
          </w:p>
        </w:tc>
        <w:tc>
          <w:tcPr>
            <w:tcW w:w="4273"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026D133E">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每个一级分类均设"其他XX服务"兜底项</w:t>
            </w:r>
          </w:p>
        </w:tc>
      </w:tr>
      <w:tr w14:paraId="5373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21089803">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扩容预留</w:t>
            </w:r>
          </w:p>
        </w:tc>
        <w:tc>
          <w:tcPr>
            <w:tcW w:w="2353"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7EBA9C4E">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无</w:t>
            </w:r>
          </w:p>
        </w:tc>
        <w:tc>
          <w:tcPr>
            <w:tcW w:w="4273"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3D36BF08">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预留P16-Z99供地市扩容</w:t>
            </w:r>
          </w:p>
        </w:tc>
      </w:tr>
      <w:tr w14:paraId="43C2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02A9BBFA">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与国标对接</w:t>
            </w:r>
          </w:p>
        </w:tc>
        <w:tc>
          <w:tcPr>
            <w:tcW w:w="2353"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B3410E3">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部分对接</w:t>
            </w:r>
          </w:p>
        </w:tc>
        <w:tc>
          <w:tcPr>
            <w:tcW w:w="4273"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53FFC5D">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全面对接GB/T 4754行业分类</w:t>
            </w:r>
          </w:p>
        </w:tc>
      </w:tr>
    </w:tbl>
    <w:p w14:paraId="1932960B">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四、标准征求意见阶段</w:t>
      </w:r>
    </w:p>
    <w:p w14:paraId="19A5D8ED">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拟定于2026年0</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下旬</w:t>
      </w:r>
      <w:r>
        <w:rPr>
          <w:rFonts w:hint="eastAsia" w:ascii="宋体" w:hAnsi="宋体" w:eastAsia="宋体" w:cs="宋体"/>
          <w:color w:val="auto"/>
          <w:sz w:val="24"/>
          <w:szCs w:val="24"/>
        </w:rPr>
        <w:t>开始征求意见。</w:t>
      </w:r>
    </w:p>
    <w:p w14:paraId="7E66ED34">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1. 征求意见范围与方式</w:t>
      </w:r>
    </w:p>
    <w:p w14:paraId="4C016E5A">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标准征求意见稿拟通过以下渠道向社会各界征求意见：</w:t>
      </w:r>
    </w:p>
    <w:p w14:paraId="706104AD">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定向征求：向全省21个地市中小企业主管部门、省级以上公共服务示范平台、重点服务机构发送征求意见稿及编制说明；</w:t>
      </w:r>
    </w:p>
    <w:p w14:paraId="182428E5">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公开征求：在广东省企业管理咨询协会官网、微信公众号发布征求意见稿，公开征求社会意见；</w:t>
      </w:r>
    </w:p>
    <w:p w14:paraId="78717BC6">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专家评审：邀请标准化、人工智能、中小企业服务等领域专家进行独立审查；</w:t>
      </w:r>
    </w:p>
    <w:p w14:paraId="3DD989BD">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行业座谈：在广州、深圳、佛山各召开一场行业座谈会，面对面收集修改建议。</w:t>
      </w:r>
    </w:p>
    <w:p w14:paraId="2383CA77">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2. 征求意见处理规则</w:t>
      </w:r>
    </w:p>
    <w:tbl>
      <w:tblPr>
        <w:tblStyle w:val="11"/>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064"/>
        <w:gridCol w:w="1508"/>
        <w:gridCol w:w="6454"/>
      </w:tblGrid>
      <w:tr w14:paraId="08C0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64" w:type="dxa"/>
            <w:tcBorders>
              <w:top w:val="single" w:color="B0B0B0" w:sz="0" w:space="0"/>
              <w:left w:val="single" w:color="B0B0B0" w:sz="0" w:space="0"/>
              <w:bottom w:val="single" w:color="B0B0B0" w:sz="0" w:space="0"/>
              <w:right w:val="single" w:color="B0B0B0" w:sz="0" w:space="0"/>
            </w:tcBorders>
            <w:shd w:val="clear" w:color="auto" w:fill="1F3864"/>
            <w:tcMar>
              <w:top w:w="60" w:type="dxa"/>
              <w:left w:w="80" w:type="dxa"/>
              <w:bottom w:w="60" w:type="dxa"/>
              <w:right w:w="80" w:type="dxa"/>
            </w:tcMar>
            <w:vAlign w:val="center"/>
          </w:tcPr>
          <w:p w14:paraId="4B225C7E">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编号</w:t>
            </w:r>
          </w:p>
        </w:tc>
        <w:tc>
          <w:tcPr>
            <w:tcW w:w="1508"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567028A1">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规则名称</w:t>
            </w:r>
          </w:p>
        </w:tc>
        <w:tc>
          <w:tcPr>
            <w:tcW w:w="6454"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1E35755C">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具体内容</w:t>
            </w:r>
          </w:p>
        </w:tc>
      </w:tr>
      <w:tr w14:paraId="190E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64"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6B330762">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规则一</w:t>
            </w:r>
          </w:p>
        </w:tc>
        <w:tc>
          <w:tcPr>
            <w:tcW w:w="1508"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5D76EC49">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逐条回应</w:t>
            </w:r>
          </w:p>
        </w:tc>
        <w:tc>
          <w:tcPr>
            <w:tcW w:w="6454"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3900B40C">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对每条意见均须书面回复，说明采纳与否及理由</w:t>
            </w:r>
          </w:p>
        </w:tc>
      </w:tr>
      <w:tr w14:paraId="2BC8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64"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2A74B95">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规则二</w:t>
            </w:r>
          </w:p>
        </w:tc>
        <w:tc>
          <w:tcPr>
            <w:tcW w:w="1508"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27E7733">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分类处理</w:t>
            </w:r>
          </w:p>
        </w:tc>
        <w:tc>
          <w:tcPr>
            <w:tcW w:w="6454"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2187123D">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按"采纳""部分采纳""不采纳"三类汇总，不采纳须说明理由</w:t>
            </w:r>
          </w:p>
        </w:tc>
      </w:tr>
      <w:tr w14:paraId="320C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64"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1210D9A">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规则三</w:t>
            </w:r>
          </w:p>
        </w:tc>
        <w:tc>
          <w:tcPr>
            <w:tcW w:w="1508"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61B50CC9">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版本追溯</w:t>
            </w:r>
          </w:p>
        </w:tc>
        <w:tc>
          <w:tcPr>
            <w:tcW w:w="6454"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5B5E201F">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每次修改均更新版本号，保留修改前后对照表</w:t>
            </w:r>
          </w:p>
        </w:tc>
      </w:tr>
      <w:tr w14:paraId="0F32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64"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A6BC085">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规则四</w:t>
            </w:r>
          </w:p>
        </w:tc>
        <w:tc>
          <w:tcPr>
            <w:tcW w:w="1508"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67157FF8">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公开透明</w:t>
            </w:r>
          </w:p>
        </w:tc>
        <w:tc>
          <w:tcPr>
            <w:tcW w:w="6454"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3A54A6A9">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意见处理汇总表随标准报批稿一并公开</w:t>
            </w:r>
          </w:p>
        </w:tc>
      </w:tr>
    </w:tbl>
    <w:p w14:paraId="424C0E7E">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p>
    <w:p w14:paraId="7AF2F79D">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3. 意见征集时间节点</w:t>
      </w:r>
    </w:p>
    <w:p w14:paraId="4017C0D6">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征求意见阶段拟按以下时间节点推进：</w:t>
      </w:r>
    </w:p>
    <w:p w14:paraId="615D00E0">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2026年0</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月上旬：完成征求意见稿定稿，启动定向征求意见；</w:t>
      </w:r>
    </w:p>
    <w:p w14:paraId="6CA82622">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2026年0</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月中旬：官网公开发布，同步启动专家评审和行业座谈；</w:t>
      </w:r>
    </w:p>
    <w:p w14:paraId="2BA36873">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2026年0</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月中旬：意见征集截止，汇总整理全部反馈意见；</w:t>
      </w:r>
    </w:p>
    <w:p w14:paraId="281383C7">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2026年0</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月</w:t>
      </w:r>
      <w:r>
        <w:rPr>
          <w:rFonts w:hint="eastAsia" w:ascii="宋体" w:hAnsi="宋体" w:eastAsia="宋体" w:cs="宋体"/>
          <w:color w:val="auto"/>
          <w:sz w:val="24"/>
          <w:szCs w:val="24"/>
        </w:rPr>
        <w:t>中</w:t>
      </w:r>
      <w:r>
        <w:rPr>
          <w:rFonts w:hint="eastAsia" w:ascii="宋体" w:hAnsi="宋体" w:eastAsia="宋体" w:cs="宋体"/>
          <w:color w:val="auto"/>
          <w:sz w:val="24"/>
          <w:szCs w:val="24"/>
        </w:rPr>
        <w:t>旬：召开意见处理专题会，逐条研究并确定采纳方案；</w:t>
      </w:r>
    </w:p>
    <w:p w14:paraId="2989F494">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下</w:t>
      </w:r>
      <w:r>
        <w:rPr>
          <w:rFonts w:hint="eastAsia" w:ascii="宋体" w:hAnsi="宋体" w:eastAsia="宋体" w:cs="宋体"/>
          <w:color w:val="auto"/>
          <w:sz w:val="24"/>
          <w:szCs w:val="24"/>
        </w:rPr>
        <w:t>旬：根据采纳意见修改标准文本，形成送审稿；</w:t>
      </w:r>
    </w:p>
    <w:p w14:paraId="1C284989">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月</w:t>
      </w:r>
      <w:r>
        <w:rPr>
          <w:rFonts w:hint="eastAsia" w:ascii="宋体" w:hAnsi="宋体" w:eastAsia="宋体" w:cs="宋体"/>
          <w:color w:val="auto"/>
          <w:sz w:val="24"/>
          <w:szCs w:val="24"/>
        </w:rPr>
        <w:t>下旬：组织标准审查会，根据审查意见修改形成报批稿；</w:t>
      </w:r>
    </w:p>
    <w:p w14:paraId="68B18902">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月01日：标准正式发布并实施。</w:t>
      </w:r>
    </w:p>
    <w:p w14:paraId="04606806">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五、标准主要技术内容说明</w:t>
      </w:r>
    </w:p>
    <w:p w14:paraId="4C03D07E">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标准共11章、5个附录，涵盖范围、规范性引用文件、术语定义、基本要求、知识库架构设计、数据内容及质量要求、数据预处理、数据标注、快速筛查与供需匹配、数据质量评估、管理维护等完整内容。以下对核心技术内容进行说明。</w:t>
      </w:r>
    </w:p>
    <w:p w14:paraId="51A6316D">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1. "四库一图"总体架构</w:t>
      </w:r>
    </w:p>
    <w:p w14:paraId="016DA06F">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标准采用"四库一图"架构，即企业库、服务库、政策库、匹配库四大核心数据库，以及基于知识图谱的供需关系图。四类存储通过统一主键（统一社会信用代码、政策文号、产品ID）关联，保证同一实体跨库一致。</w:t>
      </w:r>
    </w:p>
    <w:tbl>
      <w:tblPr>
        <w:tblStyle w:val="11"/>
        <w:tblW w:w="9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653"/>
        <w:gridCol w:w="4569"/>
        <w:gridCol w:w="3712"/>
      </w:tblGrid>
      <w:tr w14:paraId="4C57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3"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1713D02E">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组件</w:t>
            </w:r>
          </w:p>
        </w:tc>
        <w:tc>
          <w:tcPr>
            <w:tcW w:w="4569"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508309FF">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主要内容</w:t>
            </w:r>
          </w:p>
        </w:tc>
        <w:tc>
          <w:tcPr>
            <w:tcW w:w="3712"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7DF0967A">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主要用途</w:t>
            </w:r>
          </w:p>
        </w:tc>
      </w:tr>
      <w:tr w14:paraId="1561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3"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6A8B065">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企业库</w:t>
            </w:r>
          </w:p>
        </w:tc>
        <w:tc>
          <w:tcPr>
            <w:tcW w:w="4569"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049119C">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中小企业主体特征、经营状况、需求信息</w:t>
            </w:r>
          </w:p>
        </w:tc>
        <w:tc>
          <w:tcPr>
            <w:tcW w:w="3712"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7A6A904">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企业画像、需求诊断、精准服务</w:t>
            </w:r>
          </w:p>
        </w:tc>
      </w:tr>
      <w:tr w14:paraId="756F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3"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32A28C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服务库</w:t>
            </w:r>
          </w:p>
        </w:tc>
        <w:tc>
          <w:tcPr>
            <w:tcW w:w="4569"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6E93F909">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服务机构、服务产品、服务案例</w:t>
            </w:r>
          </w:p>
        </w:tc>
        <w:tc>
          <w:tcPr>
            <w:tcW w:w="3712"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63D4D3E6">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服务供给池、匹配候选</w:t>
            </w:r>
          </w:p>
        </w:tc>
      </w:tr>
      <w:tr w14:paraId="3102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3"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BC99D94">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政策库</w:t>
            </w:r>
          </w:p>
        </w:tc>
        <w:tc>
          <w:tcPr>
            <w:tcW w:w="4569"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30F5008E">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法律法规、规范性文件、政策解读</w:t>
            </w:r>
          </w:p>
        </w:tc>
        <w:tc>
          <w:tcPr>
            <w:tcW w:w="3712"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A131D12">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政策直达、合规提醒</w:t>
            </w:r>
          </w:p>
        </w:tc>
      </w:tr>
      <w:tr w14:paraId="7FB4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3"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1087A50">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匹配库</w:t>
            </w:r>
          </w:p>
        </w:tc>
        <w:tc>
          <w:tcPr>
            <w:tcW w:w="4569"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3F35589">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需求标签、服务标签、匹配对、撮合结果</w:t>
            </w:r>
          </w:p>
        </w:tc>
        <w:tc>
          <w:tcPr>
            <w:tcW w:w="3712"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662C143">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排序模型、撮合评估</w:t>
            </w:r>
          </w:p>
        </w:tc>
      </w:tr>
      <w:tr w14:paraId="4435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3"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C5F9222">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供需关系图</w:t>
            </w:r>
          </w:p>
        </w:tc>
        <w:tc>
          <w:tcPr>
            <w:tcW w:w="4569"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CAA753F">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企业—需求—服务—政策之间的标注关系边</w:t>
            </w:r>
          </w:p>
        </w:tc>
        <w:tc>
          <w:tcPr>
            <w:tcW w:w="3712"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315145C2">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多跳推理、关联分析</w:t>
            </w:r>
          </w:p>
        </w:tc>
      </w:tr>
    </w:tbl>
    <w:p w14:paraId="0C851FED">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p>
    <w:p w14:paraId="1165DBCC">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2. 服务分类与代码体系（附录A）</w:t>
      </w:r>
    </w:p>
    <w:p w14:paraId="6C3AF1B7">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附录A为规范性附录，规定了中小企业服务分类与代码，共15个一级分类、101个二级分类，合计116个分类节点。每个一级分类设"其他XX服务"兜底子类，预留P16-Z99供地市扩容。</w:t>
      </w:r>
    </w:p>
    <w:tbl>
      <w:tblPr>
        <w:tblStyle w:val="11"/>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00"/>
        <w:gridCol w:w="1200"/>
        <w:gridCol w:w="3000"/>
        <w:gridCol w:w="1200"/>
        <w:gridCol w:w="3026"/>
      </w:tblGrid>
      <w:tr w14:paraId="7043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1F3864"/>
            <w:tcMar>
              <w:top w:w="60" w:type="dxa"/>
              <w:left w:w="80" w:type="dxa"/>
              <w:bottom w:w="60" w:type="dxa"/>
              <w:right w:w="80" w:type="dxa"/>
            </w:tcMar>
            <w:vAlign w:val="center"/>
          </w:tcPr>
          <w:p w14:paraId="366EDBC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序号</w:t>
            </w:r>
          </w:p>
        </w:tc>
        <w:tc>
          <w:tcPr>
            <w:tcW w:w="1200" w:type="dxa"/>
            <w:tcBorders>
              <w:top w:val="single" w:color="B0B0B0" w:sz="0" w:space="0"/>
              <w:left w:val="single" w:color="B0B0B0" w:sz="0" w:space="0"/>
              <w:bottom w:val="single" w:color="B0B0B0" w:sz="0" w:space="0"/>
              <w:right w:val="single" w:color="B0B0B0" w:sz="0" w:space="0"/>
            </w:tcBorders>
            <w:shd w:val="clear" w:color="auto" w:fill="1F3864"/>
            <w:tcMar>
              <w:top w:w="60" w:type="dxa"/>
              <w:left w:w="80" w:type="dxa"/>
              <w:bottom w:w="60" w:type="dxa"/>
              <w:right w:w="80" w:type="dxa"/>
            </w:tcMar>
            <w:vAlign w:val="center"/>
          </w:tcPr>
          <w:p w14:paraId="41A4389F">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编码</w:t>
            </w:r>
          </w:p>
        </w:tc>
        <w:tc>
          <w:tcPr>
            <w:tcW w:w="3000"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6F451716">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分类名称</w:t>
            </w:r>
          </w:p>
        </w:tc>
        <w:tc>
          <w:tcPr>
            <w:tcW w:w="1200" w:type="dxa"/>
            <w:tcBorders>
              <w:top w:val="single" w:color="B0B0B0" w:sz="0" w:space="0"/>
              <w:left w:val="single" w:color="B0B0B0" w:sz="0" w:space="0"/>
              <w:bottom w:val="single" w:color="B0B0B0" w:sz="0" w:space="0"/>
              <w:right w:val="single" w:color="B0B0B0" w:sz="0" w:space="0"/>
            </w:tcBorders>
            <w:shd w:val="clear" w:color="auto" w:fill="1F3864"/>
            <w:tcMar>
              <w:top w:w="60" w:type="dxa"/>
              <w:left w:w="80" w:type="dxa"/>
              <w:bottom w:w="60" w:type="dxa"/>
              <w:right w:w="80" w:type="dxa"/>
            </w:tcMar>
            <w:vAlign w:val="center"/>
          </w:tcPr>
          <w:p w14:paraId="542E28C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二级数</w:t>
            </w:r>
          </w:p>
        </w:tc>
        <w:tc>
          <w:tcPr>
            <w:tcW w:w="3026"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53A5E9EB">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备注</w:t>
            </w:r>
          </w:p>
        </w:tc>
      </w:tr>
      <w:tr w14:paraId="5521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63586C32">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1</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262C5363">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A01</w:t>
            </w:r>
          </w:p>
        </w:tc>
        <w:tc>
          <w:tcPr>
            <w:tcW w:w="30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060854C7">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互联网及信息技术服务</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C25AF7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4</w:t>
            </w:r>
          </w:p>
        </w:tc>
        <w:tc>
          <w:tcPr>
            <w:tcW w:w="30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785AA03">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含数字化解决方案</w:t>
            </w:r>
          </w:p>
        </w:tc>
      </w:tr>
      <w:tr w14:paraId="4A4C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1DB7731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w:t>
            </w:r>
          </w:p>
        </w:tc>
        <w:tc>
          <w:tcPr>
            <w:tcW w:w="12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02C38E25">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B02</w:t>
            </w:r>
          </w:p>
        </w:tc>
        <w:tc>
          <w:tcPr>
            <w:tcW w:w="30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1B67CA38">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数据服务</w:t>
            </w:r>
          </w:p>
        </w:tc>
        <w:tc>
          <w:tcPr>
            <w:tcW w:w="12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5F87F5A">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5</w:t>
            </w:r>
          </w:p>
        </w:tc>
        <w:tc>
          <w:tcPr>
            <w:tcW w:w="30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22E5FDA">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数据要素核心类</w:t>
            </w:r>
          </w:p>
        </w:tc>
      </w:tr>
      <w:tr w14:paraId="23A03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474E28D">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3</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5C272899">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C03</w:t>
            </w:r>
          </w:p>
        </w:tc>
        <w:tc>
          <w:tcPr>
            <w:tcW w:w="30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E4D7A78">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创业孵化与成长支持</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58DF1F9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5</w:t>
            </w:r>
          </w:p>
        </w:tc>
        <w:tc>
          <w:tcPr>
            <w:tcW w:w="30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0CEAEFDD">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全生命周期</w:t>
            </w:r>
          </w:p>
        </w:tc>
      </w:tr>
      <w:tr w14:paraId="319C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28617E98">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4</w:t>
            </w:r>
          </w:p>
        </w:tc>
        <w:tc>
          <w:tcPr>
            <w:tcW w:w="12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34840F86">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D04</w:t>
            </w:r>
          </w:p>
        </w:tc>
        <w:tc>
          <w:tcPr>
            <w:tcW w:w="30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135BC9D6">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技术创新服务</w:t>
            </w:r>
          </w:p>
        </w:tc>
        <w:tc>
          <w:tcPr>
            <w:tcW w:w="12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2E447530">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8</w:t>
            </w:r>
          </w:p>
        </w:tc>
        <w:tc>
          <w:tcPr>
            <w:tcW w:w="30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69DBF852">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含数字化转型实施</w:t>
            </w:r>
          </w:p>
        </w:tc>
      </w:tr>
      <w:tr w14:paraId="3B98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43719A3">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5</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9068C02">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E05</w:t>
            </w:r>
          </w:p>
        </w:tc>
        <w:tc>
          <w:tcPr>
            <w:tcW w:w="30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B054BCD">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人力资源服务</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241B36A2">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6</w:t>
            </w:r>
          </w:p>
        </w:tc>
        <w:tc>
          <w:tcPr>
            <w:tcW w:w="30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6826AF9">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含技能培训</w:t>
            </w:r>
          </w:p>
        </w:tc>
      </w:tr>
      <w:tr w14:paraId="7A1F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25668F8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6</w:t>
            </w:r>
          </w:p>
        </w:tc>
        <w:tc>
          <w:tcPr>
            <w:tcW w:w="12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6E88250B">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F06</w:t>
            </w:r>
          </w:p>
        </w:tc>
        <w:tc>
          <w:tcPr>
            <w:tcW w:w="30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07DD2B04">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财税与金融促进服务</w:t>
            </w:r>
          </w:p>
        </w:tc>
        <w:tc>
          <w:tcPr>
            <w:tcW w:w="12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B2C0E22">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6</w:t>
            </w:r>
          </w:p>
        </w:tc>
        <w:tc>
          <w:tcPr>
            <w:tcW w:w="30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E430EBD">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融资+财税一体</w:t>
            </w:r>
          </w:p>
        </w:tc>
      </w:tr>
      <w:tr w14:paraId="62D3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6D1746F3">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7</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019C60D9">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G07</w:t>
            </w:r>
          </w:p>
        </w:tc>
        <w:tc>
          <w:tcPr>
            <w:tcW w:w="30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399A4EDD">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管理咨询服务</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F7DDD60">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w:t>
            </w:r>
          </w:p>
        </w:tc>
        <w:tc>
          <w:tcPr>
            <w:tcW w:w="30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FFF32B3">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不设二级</w:t>
            </w:r>
          </w:p>
        </w:tc>
      </w:tr>
      <w:tr w14:paraId="79CE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74834660">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8</w:t>
            </w:r>
          </w:p>
        </w:tc>
        <w:tc>
          <w:tcPr>
            <w:tcW w:w="12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B8B4039">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H08</w:t>
            </w:r>
          </w:p>
        </w:tc>
        <w:tc>
          <w:tcPr>
            <w:tcW w:w="30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29924203">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市场开拓服务</w:t>
            </w:r>
          </w:p>
        </w:tc>
        <w:tc>
          <w:tcPr>
            <w:tcW w:w="12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737E9DD5">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6</w:t>
            </w:r>
          </w:p>
        </w:tc>
        <w:tc>
          <w:tcPr>
            <w:tcW w:w="30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2EDD0382">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含技术推广</w:t>
            </w:r>
          </w:p>
        </w:tc>
      </w:tr>
      <w:tr w14:paraId="6C01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A63E310">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9</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6CB9663">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I09</w:t>
            </w:r>
          </w:p>
        </w:tc>
        <w:tc>
          <w:tcPr>
            <w:tcW w:w="30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5BFE260F">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法律服务</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595A8ACF">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3</w:t>
            </w:r>
          </w:p>
        </w:tc>
        <w:tc>
          <w:tcPr>
            <w:tcW w:w="30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55A7BAFD">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诉讼+非诉</w:t>
            </w:r>
          </w:p>
        </w:tc>
      </w:tr>
      <w:tr w14:paraId="3FFD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C0D49FD">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10</w:t>
            </w:r>
          </w:p>
        </w:tc>
        <w:tc>
          <w:tcPr>
            <w:tcW w:w="12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72BFB16E">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J10</w:t>
            </w:r>
          </w:p>
        </w:tc>
        <w:tc>
          <w:tcPr>
            <w:tcW w:w="30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C3F7837">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生产性服务</w:t>
            </w:r>
          </w:p>
        </w:tc>
        <w:tc>
          <w:tcPr>
            <w:tcW w:w="12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07E2AAC0">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6</w:t>
            </w:r>
          </w:p>
        </w:tc>
        <w:tc>
          <w:tcPr>
            <w:tcW w:w="30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2B178F7F">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农/林/牧/渔/能源</w:t>
            </w:r>
          </w:p>
        </w:tc>
      </w:tr>
      <w:tr w14:paraId="27A6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6F890C9">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11</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06260B8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K11</w:t>
            </w:r>
          </w:p>
        </w:tc>
        <w:tc>
          <w:tcPr>
            <w:tcW w:w="30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0B94F353">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制造性服务</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20328E71">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17</w:t>
            </w:r>
          </w:p>
        </w:tc>
        <w:tc>
          <w:tcPr>
            <w:tcW w:w="30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23BF31C9">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最多二级子类</w:t>
            </w:r>
          </w:p>
        </w:tc>
      </w:tr>
      <w:tr w14:paraId="2F18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3C784B26">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12</w:t>
            </w:r>
          </w:p>
        </w:tc>
        <w:tc>
          <w:tcPr>
            <w:tcW w:w="12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6FABD2DD">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L12</w:t>
            </w:r>
          </w:p>
        </w:tc>
        <w:tc>
          <w:tcPr>
            <w:tcW w:w="30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E363C31">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经营辅助服务</w:t>
            </w:r>
          </w:p>
        </w:tc>
        <w:tc>
          <w:tcPr>
            <w:tcW w:w="12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A93A21F">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20</w:t>
            </w:r>
          </w:p>
        </w:tc>
        <w:tc>
          <w:tcPr>
            <w:tcW w:w="30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036C4998">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覆盖面最广</w:t>
            </w:r>
          </w:p>
        </w:tc>
      </w:tr>
      <w:tr w14:paraId="665A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0F78B26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13</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6478871E">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M13</w:t>
            </w:r>
          </w:p>
        </w:tc>
        <w:tc>
          <w:tcPr>
            <w:tcW w:w="30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24D6130">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AI服务</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65A7D30">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8</w:t>
            </w:r>
          </w:p>
        </w:tc>
        <w:tc>
          <w:tcPr>
            <w:tcW w:w="30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2242745">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IaaS/PaaS/SaaS/MaaS</w:t>
            </w:r>
          </w:p>
        </w:tc>
      </w:tr>
      <w:tr w14:paraId="35C86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51FD8D5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14</w:t>
            </w:r>
          </w:p>
        </w:tc>
        <w:tc>
          <w:tcPr>
            <w:tcW w:w="12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1DE3E8A0">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N14</w:t>
            </w:r>
          </w:p>
        </w:tc>
        <w:tc>
          <w:tcPr>
            <w:tcW w:w="30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0F7B40B">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国际化与跨境服务</w:t>
            </w:r>
          </w:p>
        </w:tc>
        <w:tc>
          <w:tcPr>
            <w:tcW w:w="12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DB6CDC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7</w:t>
            </w:r>
          </w:p>
        </w:tc>
        <w:tc>
          <w:tcPr>
            <w:tcW w:w="30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14B930E3">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出海赋能</w:t>
            </w:r>
          </w:p>
        </w:tc>
      </w:tr>
      <w:tr w14:paraId="3137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66EE81BD">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15</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2E8A113C">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O15</w:t>
            </w:r>
          </w:p>
        </w:tc>
        <w:tc>
          <w:tcPr>
            <w:tcW w:w="30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622A23EF">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其他中小企业服务</w:t>
            </w:r>
          </w:p>
        </w:tc>
        <w:tc>
          <w:tcPr>
            <w:tcW w:w="12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17583C5D">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w:t>
            </w:r>
          </w:p>
        </w:tc>
        <w:tc>
          <w:tcPr>
            <w:tcW w:w="30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0F2D6251">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兜底类</w:t>
            </w:r>
          </w:p>
        </w:tc>
      </w:tr>
    </w:tbl>
    <w:p w14:paraId="0E696531">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p>
    <w:p w14:paraId="6C1D6F26">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3. 数据质量六维指标</w:t>
      </w:r>
    </w:p>
    <w:tbl>
      <w:tblPr>
        <w:tblStyle w:val="11"/>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00"/>
        <w:gridCol w:w="3800"/>
        <w:gridCol w:w="3426"/>
      </w:tblGrid>
      <w:tr w14:paraId="08679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2D859F7D">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质量维度</w:t>
            </w:r>
          </w:p>
        </w:tc>
        <w:tc>
          <w:tcPr>
            <w:tcW w:w="3800"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39C4DFD2">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要求说明</w:t>
            </w:r>
          </w:p>
        </w:tc>
        <w:tc>
          <w:tcPr>
            <w:tcW w:w="3426" w:type="dxa"/>
            <w:tcBorders>
              <w:top w:val="single" w:color="B0B0B0" w:sz="0" w:space="0"/>
              <w:left w:val="single" w:color="B0B0B0" w:sz="0" w:space="0"/>
              <w:bottom w:val="single" w:color="B0B0B0" w:sz="0" w:space="0"/>
              <w:right w:val="single" w:color="B0B0B0" w:sz="0" w:space="0"/>
            </w:tcBorders>
            <w:shd w:val="clear" w:color="auto" w:fill="1F3864"/>
            <w:tcMar>
              <w:top w:w="60" w:type="dxa"/>
              <w:left w:w="100" w:type="dxa"/>
              <w:bottom w:w="60" w:type="dxa"/>
              <w:right w:w="100" w:type="dxa"/>
            </w:tcMar>
            <w:vAlign w:val="center"/>
          </w:tcPr>
          <w:p w14:paraId="6F28E30A">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目标值</w:t>
            </w:r>
          </w:p>
        </w:tc>
      </w:tr>
      <w:tr w14:paraId="150A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511D3E2">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规范性</w:t>
            </w:r>
          </w:p>
        </w:tc>
        <w:tc>
          <w:tcPr>
            <w:tcW w:w="38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29190167">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字段格式、代码表、分类体系符合本文件及引用标准</w:t>
            </w:r>
          </w:p>
        </w:tc>
        <w:tc>
          <w:tcPr>
            <w:tcW w:w="34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08628F43">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符合率≥98%</w:t>
            </w:r>
          </w:p>
        </w:tc>
      </w:tr>
      <w:tr w14:paraId="1996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3455E152">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完整性</w:t>
            </w:r>
          </w:p>
        </w:tc>
        <w:tc>
          <w:tcPr>
            <w:tcW w:w="38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06004FEE">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关键字段赋值完整，无系统性缺失</w:t>
            </w:r>
          </w:p>
        </w:tc>
        <w:tc>
          <w:tcPr>
            <w:tcW w:w="34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7CED9173">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完整率≥98%</w:t>
            </w:r>
          </w:p>
        </w:tc>
      </w:tr>
      <w:tr w14:paraId="27C7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6C99D349">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准确性</w:t>
            </w:r>
          </w:p>
        </w:tc>
        <w:tc>
          <w:tcPr>
            <w:tcW w:w="38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1BFA368">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数据反映真实对象，无错标、漏标</w:t>
            </w:r>
          </w:p>
        </w:tc>
        <w:tc>
          <w:tcPr>
            <w:tcW w:w="34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77988BE">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准确率≥95%</w:t>
            </w:r>
          </w:p>
        </w:tc>
      </w:tr>
      <w:tr w14:paraId="02E4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6337F0AE">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一致性</w:t>
            </w:r>
          </w:p>
        </w:tc>
        <w:tc>
          <w:tcPr>
            <w:tcW w:w="38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8C090CE">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同一实体在多源、多表中表示一致</w:t>
            </w:r>
          </w:p>
        </w:tc>
        <w:tc>
          <w:tcPr>
            <w:tcW w:w="34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641D3B2F">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一致率≥96%</w:t>
            </w:r>
          </w:p>
        </w:tc>
      </w:tr>
      <w:tr w14:paraId="6D55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4AC3F53D">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时效性</w:t>
            </w:r>
          </w:p>
        </w:tc>
        <w:tc>
          <w:tcPr>
            <w:tcW w:w="3800"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7291706D">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政策、企业、服务机构数据在变更后及时更新</w:t>
            </w:r>
          </w:p>
        </w:tc>
        <w:tc>
          <w:tcPr>
            <w:tcW w:w="3426" w:type="dxa"/>
            <w:tcBorders>
              <w:top w:val="single" w:color="B0B0B0" w:sz="0" w:space="0"/>
              <w:left w:val="single" w:color="B0B0B0" w:sz="0" w:space="0"/>
              <w:bottom w:val="single" w:color="B0B0B0" w:sz="0" w:space="0"/>
              <w:right w:val="single" w:color="B0B0B0" w:sz="0" w:space="0"/>
            </w:tcBorders>
            <w:shd w:val="clear" w:color="auto" w:fill="EDF2F9"/>
            <w:tcMar>
              <w:top w:w="60" w:type="dxa"/>
              <w:left w:w="100" w:type="dxa"/>
              <w:bottom w:w="60" w:type="dxa"/>
              <w:right w:w="100" w:type="dxa"/>
            </w:tcMar>
            <w:vAlign w:val="center"/>
          </w:tcPr>
          <w:p w14:paraId="65621240">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政策≤5工作日</w:t>
            </w:r>
          </w:p>
        </w:tc>
      </w:tr>
      <w:tr w14:paraId="13F1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648D5990">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可访问性</w:t>
            </w:r>
          </w:p>
        </w:tc>
        <w:tc>
          <w:tcPr>
            <w:tcW w:w="3800"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5458078">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授权用户可按权限检索、下载、调用</w:t>
            </w:r>
          </w:p>
        </w:tc>
        <w:tc>
          <w:tcPr>
            <w:tcW w:w="3426" w:type="dxa"/>
            <w:tcBorders>
              <w:top w:val="single" w:color="B0B0B0" w:sz="0" w:space="0"/>
              <w:left w:val="single" w:color="B0B0B0" w:sz="0" w:space="0"/>
              <w:bottom w:val="single" w:color="B0B0B0" w:sz="0" w:space="0"/>
              <w:right w:val="single" w:color="B0B0B0" w:sz="0" w:space="0"/>
            </w:tcBorders>
            <w:shd w:val="clear" w:color="auto" w:fill="FFFFFF"/>
            <w:tcMar>
              <w:top w:w="60" w:type="dxa"/>
              <w:left w:w="100" w:type="dxa"/>
              <w:bottom w:w="60" w:type="dxa"/>
              <w:right w:w="100" w:type="dxa"/>
            </w:tcMar>
            <w:vAlign w:val="center"/>
          </w:tcPr>
          <w:p w14:paraId="44BFCA9E">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可用性≥99.9%</w:t>
            </w:r>
          </w:p>
        </w:tc>
      </w:tr>
    </w:tbl>
    <w:p w14:paraId="1230D9F8">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p>
    <w:p w14:paraId="6BB319C1">
      <w:pPr>
        <w:pStyle w:val="2"/>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、知识产权说明</w:t>
      </w:r>
    </w:p>
    <w:p w14:paraId="564C762C">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本标准不涉及专利技术。标准编制过程中引用的国家标准、行业标准均已获得合法使用权。标准文本版权归广东省企业管理咨询协会所有。</w:t>
      </w:r>
    </w:p>
    <w:p w14:paraId="1BFA2A3C">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专利声明：本文件发布机构不承担识别专利的责任；</w:t>
      </w:r>
    </w:p>
    <w:p w14:paraId="4A709D23">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著作权：标准文本著作权归广东省企业管理咨询协会所有；</w:t>
      </w:r>
    </w:p>
    <w:p w14:paraId="328CD677">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商标：标准中涉及的商标均为各自权利人所有；</w:t>
      </w:r>
    </w:p>
    <w:p w14:paraId="2C30899C">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开源组件：标准实施过程中推荐使用的开源工具（如BGE嵌入模型）须遵守相应开源协议。</w:t>
      </w:r>
    </w:p>
    <w:p w14:paraId="693AB14C">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、与现行法律法规及标准的关系</w:t>
      </w:r>
    </w:p>
    <w:p w14:paraId="6C93BE9B">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本标准符合国家现行法律、法规要求，与以下国家标准和行业标准协调一致：</w:t>
      </w:r>
    </w:p>
    <w:p w14:paraId="05814680">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全面对接GB/T 36344-2018《信息技术 数据质量评价指标》六维质量模型；</w:t>
      </w:r>
    </w:p>
    <w:p w14:paraId="00D37C3D">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严格遵循GB/T 42131-2022《人工智能 知识图谱技术框架》的图谱构建要求；</w:t>
      </w:r>
    </w:p>
    <w:p w14:paraId="225F560D">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数据脱敏方法符合GB/T 37964《信息安全技术 数据去标识化指南》；</w:t>
      </w:r>
    </w:p>
    <w:p w14:paraId="1D0CB7B4">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个人信息保护符合GB/T 35273《信息安全技术 个人信息安全规范》；</w:t>
      </w:r>
    </w:p>
    <w:p w14:paraId="1711BA3B">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生成式AI安全符合GB/T 45674-2025和GB/T 45652-2025两项新国标；</w:t>
      </w:r>
    </w:p>
    <w:p w14:paraId="779032A0">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行业分类对接GB/T 4754《国民经济行业分类》；</w:t>
      </w:r>
    </w:p>
    <w:p w14:paraId="031330FA">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是对工信部企业〔2023〕213号文要求的重要技术支撑和标准化补充。</w:t>
      </w:r>
    </w:p>
    <w:p w14:paraId="169F601D">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八</w:t>
      </w:r>
      <w:r>
        <w:rPr>
          <w:rFonts w:hint="eastAsia" w:ascii="宋体" w:hAnsi="宋体" w:eastAsia="宋体" w:cs="宋体"/>
          <w:b/>
          <w:bCs/>
          <w:color w:val="auto"/>
          <w:sz w:val="24"/>
          <w:szCs w:val="24"/>
        </w:rPr>
        <w:t>、重大分歧意见的处理</w:t>
      </w:r>
    </w:p>
    <w:p w14:paraId="2FFC5ECB">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标准编制过程中无重大分歧意见。针对以下争议点，经专家论证后形成一致结论：</w:t>
      </w:r>
    </w:p>
    <w:p w14:paraId="161777C8">
      <w:pPr>
        <w:pStyle w:val="16"/>
        <w:keepNext w:val="0"/>
        <w:keepLines w:val="0"/>
        <w:pageBreakBefore w:val="0"/>
        <w:numPr>
          <w:ilvl w:val="0"/>
          <w:numId w:val="2"/>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争议一："服务分类是否设置三级分类" → 结论：暂不设置三级分类，通过"其他XX服务"兜底项满足个性化需求，降低实施复杂度；</w:t>
      </w:r>
    </w:p>
    <w:p w14:paraId="0A8710FE">
      <w:pPr>
        <w:pStyle w:val="16"/>
        <w:keepNext w:val="0"/>
        <w:keepLines w:val="0"/>
        <w:pageBreakBefore w:val="0"/>
        <w:numPr>
          <w:ilvl w:val="0"/>
          <w:numId w:val="2"/>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争议二："标注流程是否必须引入AI初标" → 结论：AI初标为推荐项而非强制项，小规模平台可暂用纯人工标注；</w:t>
      </w:r>
    </w:p>
    <w:p w14:paraId="4D1DCA9E">
      <w:pPr>
        <w:pStyle w:val="16"/>
        <w:keepNext w:val="0"/>
        <w:keepLines w:val="0"/>
        <w:pageBreakBefore w:val="0"/>
        <w:numPr>
          <w:ilvl w:val="0"/>
          <w:numId w:val="2"/>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争议三："数据分级应为三级还是四级" → 结论：采用四级制（L1-L4），增设L4涉密级以覆盖涉密政策场景；</w:t>
      </w:r>
    </w:p>
    <w:p w14:paraId="24D11671">
      <w:pPr>
        <w:pStyle w:val="16"/>
        <w:keepNext w:val="0"/>
        <w:keepLines w:val="0"/>
        <w:pageBreakBefore w:val="0"/>
        <w:numPr>
          <w:ilvl w:val="0"/>
          <w:numId w:val="2"/>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争议四："管理咨询服务是否细分二级分类" → 结论：管理咨询作为整体一级类（G07），不设二级分类，避免与服务内容重叠。</w:t>
      </w:r>
    </w:p>
    <w:p w14:paraId="30BB72D7">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十、标准性质及实施建议</w:t>
      </w:r>
    </w:p>
    <w:p w14:paraId="46144170">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1. 标准性质</w:t>
      </w:r>
    </w:p>
    <w:p w14:paraId="2909D5DB">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本标准为团体标准，供各级中小企业主管部门、公共服务平台、服务机构、大模型应用开发商自愿采用。</w:t>
      </w:r>
    </w:p>
    <w:p w14:paraId="49E34E4A">
      <w:pPr>
        <w:pStyle w:val="3"/>
        <w:keepNext w:val="0"/>
        <w:keepLines w:val="0"/>
        <w:pageBreakBefore w:val="0"/>
        <w:kinsoku/>
        <w:wordWrap/>
        <w:overflowPunct/>
        <w:topLinePunct w:val="0"/>
        <w:autoSpaceDE/>
        <w:autoSpaceDN/>
        <w:bidi w:val="0"/>
        <w:adjustRightInd/>
        <w:snapToGrid/>
        <w:spacing w:before="0" w:after="0"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2. 实施建议</w:t>
      </w:r>
    </w:p>
    <w:p w14:paraId="350512DA">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过渡期安排（3个月）：标准发布后设置过渡期，期间开展宣贯培训，指导相关单位完成数据规范改造；</w:t>
      </w:r>
    </w:p>
    <w:p w14:paraId="2F24D905">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试点推广：优先在省级以上中小企业公共服务示范平台、数字化转型试点城市推广应用；</w:t>
      </w:r>
    </w:p>
    <w:p w14:paraId="6F7982F3">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动态维护：成立标准技术委员会，每年开展标准实施效果评估，适时修订完善；</w:t>
      </w:r>
    </w:p>
    <w:p w14:paraId="6C9DDE0F">
      <w:pPr>
        <w:pStyle w:val="16"/>
        <w:keepNext w:val="0"/>
        <w:keepLines w:val="0"/>
        <w:pageBreakBefore w:val="0"/>
        <w:numPr>
          <w:ilvl w:val="0"/>
          <w:numId w:val="1"/>
        </w:numPr>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配套工具：开发标准配套的数据校验工具和标注模板，降低实施门槛。</w:t>
      </w:r>
    </w:p>
    <w:p w14:paraId="4EF142F8">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p>
    <w:p w14:paraId="6C291434">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十、废止现行相关标准的建议</w:t>
      </w:r>
    </w:p>
    <w:p w14:paraId="17891D5B">
      <w:pPr>
        <w:keepNext w:val="0"/>
        <w:keepLines w:val="0"/>
        <w:pageBreakBefore w:val="0"/>
        <w:kinsoku/>
        <w:wordWrap/>
        <w:overflowPunct/>
        <w:topLinePunct w:val="0"/>
        <w:autoSpaceDE/>
        <w:autoSpaceDN/>
        <w:bidi w:val="0"/>
        <w:adjustRightInd/>
        <w:snapToGrid/>
        <w:spacing w:line="288"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本标准为首次发布，无现行相关标准需要废止。标准实施后，将作为广东省中小企业服务知识库数据治理的推荐性团体标准，与现有国家标准、行业标准共同构成多层次标准体系。</w:t>
      </w:r>
    </w:p>
    <w:p w14:paraId="20414191">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 xml:space="preserve">一 </w:t>
      </w:r>
      <w:r>
        <w:rPr>
          <w:rFonts w:hint="eastAsia" w:ascii="宋体" w:hAnsi="宋体" w:eastAsia="宋体" w:cs="宋体"/>
          <w:b/>
          <w:bCs/>
          <w:color w:val="auto"/>
          <w:sz w:val="24"/>
          <w:szCs w:val="24"/>
        </w:rPr>
        <w:t>、其他应予说明的事项</w:t>
      </w:r>
    </w:p>
    <w:p w14:paraId="005DFF0E">
      <w:pPr>
        <w:pStyle w:val="16"/>
        <w:keepNext w:val="0"/>
        <w:keepLines w:val="0"/>
        <w:pageBreakBefore w:val="0"/>
        <w:numPr>
          <w:numId w:val="0"/>
        </w:numPr>
        <w:kinsoku/>
        <w:wordWrap/>
        <w:overflowPunct/>
        <w:topLinePunct w:val="0"/>
        <w:autoSpaceDE/>
        <w:autoSpaceDN/>
        <w:bidi w:val="0"/>
        <w:adjustRightInd/>
        <w:snapToGrid/>
        <w:spacing w:line="288" w:lineRule="auto"/>
        <w:ind w:left="36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附录性质：附录A（中小企业服务分类与代码）、附录B（企业库标签全表）、附录C（政策库标签全表）、附录D（服务库标签全表）为规范性附录；附录E（统一元数据规范）为资料性附录；</w:t>
      </w:r>
    </w:p>
    <w:p w14:paraId="5A0A4752">
      <w:pPr>
        <w:pStyle w:val="16"/>
        <w:keepNext w:val="0"/>
        <w:keepLines w:val="0"/>
        <w:pageBreakBefore w:val="0"/>
        <w:numPr>
          <w:numId w:val="0"/>
        </w:numPr>
        <w:kinsoku/>
        <w:wordWrap/>
        <w:overflowPunct/>
        <w:topLinePunct w:val="0"/>
        <w:autoSpaceDE/>
        <w:autoSpaceDN/>
        <w:bidi w:val="0"/>
        <w:adjustRightInd/>
        <w:snapToGrid/>
        <w:spacing w:line="288" w:lineRule="auto"/>
        <w:ind w:left="36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标准复审：建议每三年开展一次标准复审，根据技术发展和实施反馈及时修订；</w:t>
      </w:r>
    </w:p>
    <w:p w14:paraId="68C3CBBC">
      <w:pPr>
        <w:pStyle w:val="16"/>
        <w:keepNext w:val="0"/>
        <w:keepLines w:val="0"/>
        <w:pageBreakBefore w:val="0"/>
        <w:numPr>
          <w:numId w:val="0"/>
        </w:numPr>
        <w:kinsoku/>
        <w:wordWrap/>
        <w:overflowPunct/>
        <w:topLinePunct w:val="0"/>
        <w:autoSpaceDE/>
        <w:autoSpaceDN/>
        <w:bidi w:val="0"/>
        <w:adjustRightInd/>
        <w:snapToGrid/>
        <w:spacing w:line="288" w:lineRule="auto"/>
        <w:ind w:left="36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问题反馈：标准实施过程中如遇问题，请及时反馈至广东省企业管理咨询协会标准技术委员会（邮箱：gdec@126.com）；</w:t>
      </w:r>
    </w:p>
    <w:p w14:paraId="3CC951A8">
      <w:pPr>
        <w:pStyle w:val="16"/>
        <w:keepNext w:val="0"/>
        <w:keepLines w:val="0"/>
        <w:pageBreakBefore w:val="0"/>
        <w:numPr>
          <w:numId w:val="0"/>
        </w:numPr>
        <w:kinsoku/>
        <w:wordWrap/>
        <w:overflowPunct/>
        <w:topLinePunct w:val="0"/>
        <w:autoSpaceDE/>
        <w:autoSpaceDN/>
        <w:bidi w:val="0"/>
        <w:adjustRightInd/>
        <w:snapToGrid/>
        <w:spacing w:line="288" w:lineRule="auto"/>
        <w:ind w:left="36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标准解读：配套发布《标准解读手册》，对关键条款进行图文解读，降低理解门槛；</w:t>
      </w:r>
    </w:p>
    <w:p w14:paraId="4735A4AC">
      <w:pPr>
        <w:pStyle w:val="16"/>
        <w:keepNext w:val="0"/>
        <w:keepLines w:val="0"/>
        <w:pageBreakBefore w:val="0"/>
        <w:numPr>
          <w:numId w:val="0"/>
        </w:numPr>
        <w:kinsoku/>
        <w:wordWrap/>
        <w:overflowPunct/>
        <w:topLinePunct w:val="0"/>
        <w:autoSpaceDE/>
        <w:autoSpaceDN/>
        <w:bidi w:val="0"/>
        <w:adjustRightInd/>
        <w:snapToGrid/>
        <w:spacing w:line="288" w:lineRule="auto"/>
        <w:ind w:left="360" w:leftChars="0"/>
        <w:textAlignment w:val="auto"/>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国际接轨：后续版本将参考ISO/IEC 25012数据质量模型、NIST AI风险管理框架等国际标准，推动标准国际化。</w:t>
      </w:r>
    </w:p>
    <w:p w14:paraId="34A1CE4A">
      <w:pPr>
        <w:spacing w:after="60"/>
      </w:pPr>
    </w:p>
    <w:p w14:paraId="40148178">
      <w:pPr>
        <w:spacing w:after="60"/>
      </w:pPr>
    </w:p>
    <w:p w14:paraId="65266D58">
      <w:pPr>
        <w:pBdr>
          <w:bottom w:val="single" w:color="2E75B6" w:sz="6" w:space="1"/>
        </w:pBdr>
        <w:spacing w:before="200" w:after="200"/>
      </w:pPr>
    </w:p>
    <w:p w14:paraId="784002E5">
      <w:pPr>
        <w:spacing w:after="60"/>
      </w:pPr>
    </w:p>
    <w:p w14:paraId="0A3DD810">
      <w:pPr>
        <w:spacing w:after="120"/>
        <w:jc w:val="right"/>
      </w:pPr>
      <w:r>
        <w:rPr>
          <w:rFonts w:hint="eastAsia" w:cs="WenQuanYi Micro Hei"/>
          <w:color w:val="auto"/>
          <w:sz w:val="24"/>
          <w:szCs w:val="24"/>
          <w:lang w:val="en-US" w:eastAsia="zh-CN"/>
        </w:rPr>
        <w:t>《基于大模型的中小企业服务知识库构建数据预处理与标注规范》起草组</w:t>
      </w:r>
    </w:p>
    <w:p w14:paraId="7D45D4CE">
      <w:pPr>
        <w:spacing w:after="120"/>
        <w:jc w:val="right"/>
      </w:pPr>
      <w:r>
        <w:rPr>
          <w:rFonts w:ascii="WenQuanYi Micro Hei" w:hAnsi="WenQuanYi Micro Hei" w:eastAsia="WenQuanYi Micro Hei" w:cs="WenQuanYi Micro Hei"/>
          <w:color w:val="000000"/>
          <w:sz w:val="24"/>
          <w:szCs w:val="24"/>
        </w:rPr>
        <w:t>2026年</w:t>
      </w:r>
      <w:r>
        <w:rPr>
          <w:rFonts w:hint="eastAsia" w:cs="WenQuanYi Micro Hei"/>
          <w:color w:val="000000"/>
          <w:sz w:val="24"/>
          <w:szCs w:val="24"/>
          <w:lang w:val="en-US" w:eastAsia="zh-CN"/>
        </w:rPr>
        <w:t>08</w:t>
      </w:r>
      <w:r>
        <w:rPr>
          <w:rFonts w:ascii="WenQuanYi Micro Hei" w:hAnsi="WenQuanYi Micro Hei" w:eastAsia="WenQuanYi Micro Hei" w:cs="WenQuanYi Micro Hei"/>
          <w:color w:val="000000"/>
          <w:sz w:val="24"/>
          <w:szCs w:val="24"/>
        </w:rPr>
        <w:t>月1</w:t>
      </w:r>
      <w:r>
        <w:rPr>
          <w:rFonts w:hint="eastAsia" w:cs="WenQuanYi Micro Hei"/>
          <w:color w:val="000000"/>
          <w:sz w:val="24"/>
          <w:szCs w:val="24"/>
          <w:lang w:val="en-US" w:eastAsia="zh-CN"/>
        </w:rPr>
        <w:t>3</w:t>
      </w:r>
      <w:r>
        <w:rPr>
          <w:rFonts w:ascii="WenQuanYi Micro Hei" w:hAnsi="WenQuanYi Micro Hei" w:eastAsia="WenQuanYi Micro Hei" w:cs="WenQuanYi Micro Hei"/>
          <w:color w:val="000000"/>
          <w:sz w:val="24"/>
          <w:szCs w:val="24"/>
        </w:rPr>
        <w:t>日</w:t>
      </w:r>
    </w:p>
    <w:sectPr>
      <w:footerReference r:id="rId3" w:type="default"/>
      <w:pgSz w:w="11906" w:h="16838"/>
      <w:pgMar w:top="1440" w:right="1200" w:bottom="1440" w:left="12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enQuanYi Micro Hei">
    <w:altName w:val="宋体"/>
    <w:panose1 w:val="00000000000000000000"/>
    <w:charset w:val="86"/>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89E4F">
    <w:pPr>
      <w:jc w:val="center"/>
    </w:pPr>
    <w:r>
      <w:rPr>
        <w:rFonts w:ascii="WenQuanYi Micro Hei" w:hAnsi="WenQuanYi Micro Hei" w:eastAsia="WenQuanYi Micro Hei" w:cs="WenQuanYi Micro Hei"/>
        <w:color w:val="666666"/>
        <w:sz w:val="18"/>
        <w:szCs w:val="18"/>
      </w:rPr>
      <w:t xml:space="preserve">第 </w:t>
    </w:r>
    <w:r>
      <w:rPr>
        <w:rFonts w:ascii="WenQuanYi Micro Hei" w:hAnsi="WenQuanYi Micro Hei" w:eastAsia="WenQuanYi Micro Hei" w:cs="WenQuanYi Micro Hei"/>
        <w:color w:val="666666"/>
        <w:sz w:val="18"/>
        <w:szCs w:val="18"/>
      </w:rPr>
      <w:fldChar w:fldCharType="begin"/>
    </w:r>
    <w:r>
      <w:rPr>
        <w:rFonts w:ascii="WenQuanYi Micro Hei" w:hAnsi="WenQuanYi Micro Hei" w:eastAsia="WenQuanYi Micro Hei" w:cs="WenQuanYi Micro Hei"/>
        <w:color w:val="666666"/>
        <w:sz w:val="18"/>
        <w:szCs w:val="18"/>
      </w:rPr>
      <w:instrText xml:space="preserve">PAGE</w:instrText>
    </w:r>
    <w:r>
      <w:rPr>
        <w:rFonts w:ascii="WenQuanYi Micro Hei" w:hAnsi="WenQuanYi Micro Hei" w:eastAsia="WenQuanYi Micro Hei" w:cs="WenQuanYi Micro Hei"/>
        <w:color w:val="666666"/>
        <w:sz w:val="18"/>
        <w:szCs w:val="18"/>
      </w:rPr>
      <w:fldChar w:fldCharType="separate"/>
    </w:r>
    <w:r>
      <w:rPr>
        <w:rFonts w:ascii="WenQuanYi Micro Hei" w:hAnsi="WenQuanYi Micro Hei" w:eastAsia="WenQuanYi Micro Hei" w:cs="WenQuanYi Micro Hei"/>
        <w:color w:val="666666"/>
        <w:sz w:val="18"/>
        <w:szCs w:val="18"/>
      </w:rPr>
      <w:fldChar w:fldCharType="end"/>
    </w:r>
    <w:r>
      <w:rPr>
        <w:rFonts w:ascii="WenQuanYi Micro Hei" w:hAnsi="WenQuanYi Micro Hei" w:eastAsia="WenQuanYi Micro Hei" w:cs="WenQuanYi Micro Hei"/>
        <w:color w:val="666666"/>
        <w:sz w:val="18"/>
        <w:szCs w:val="18"/>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pPr>
        <w:ind w:left="720" w:hanging="360"/>
      </w:pPr>
    </w:lvl>
  </w:abstractNum>
  <w:abstractNum w:abstractNumId="1">
    <w:nsid w:val="59ADCABA"/>
    <w:multiLevelType w:val="singleLevel"/>
    <w:tmpl w:val="59ADCABA"/>
    <w:lvl w:ilvl="0" w:tentative="0">
      <w:start w:val="1"/>
      <w:numFmt w:val="decimal"/>
      <w:lvlText w:val="%1."/>
      <w:lvlJc w:val="left"/>
      <w:pPr>
        <w:ind w:left="720" w:hanging="360"/>
      </w:pPr>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isplayBackgroundShape w:val="1"/>
  <w:documentProtection w:enforcement="0"/>
  <w:compat>
    <w:useFELayout/>
    <w:compatSetting w:name="compatibilityMode" w:uri="http://schemas.microsoft.com/office/word" w:val="15"/>
  </w:compat>
  <w:rsids>
    <w:rsidRoot w:val="00000000"/>
    <w:rsid w:val="3FBC0D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WenQuanYi Micro Hei" w:hAnsi="WenQuanYi Micro Hei" w:eastAsia="WenQuanYi Micro Hei" w:cs="WenQuanYi Micro He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WenQuanYi Micro Hei" w:hAnsi="WenQuanYi Micro Hei" w:eastAsia="WenQuanYi Micro Hei" w:cs="WenQuanYi Micro Hei"/>
      <w:sz w:val="24"/>
      <w:szCs w:val="24"/>
    </w:rPr>
  </w:style>
  <w:style w:type="paragraph" w:styleId="2">
    <w:name w:val="heading 1"/>
    <w:next w:val="1"/>
    <w:qFormat/>
    <w:uiPriority w:val="0"/>
    <w:pPr>
      <w:spacing w:before="360" w:after="200"/>
      <w:outlineLvl w:val="0"/>
    </w:pPr>
    <w:rPr>
      <w:rFonts w:ascii="WenQuanYi Micro Hei" w:hAnsi="WenQuanYi Micro Hei" w:eastAsia="WenQuanYi Micro Hei" w:cs="WenQuanYi Micro Hei"/>
      <w:b/>
      <w:bCs/>
      <w:color w:val="1F3864"/>
      <w:sz w:val="32"/>
      <w:szCs w:val="32"/>
    </w:rPr>
  </w:style>
  <w:style w:type="paragraph" w:styleId="3">
    <w:name w:val="heading 2"/>
    <w:next w:val="1"/>
    <w:qFormat/>
    <w:uiPriority w:val="0"/>
    <w:pPr>
      <w:spacing w:before="240" w:after="160"/>
      <w:outlineLvl w:val="1"/>
    </w:pPr>
    <w:rPr>
      <w:rFonts w:ascii="WenQuanYi Micro Hei" w:hAnsi="WenQuanYi Micro Hei" w:eastAsia="WenQuanYi Micro Hei" w:cs="WenQuanYi Micro Hei"/>
      <w:b/>
      <w:bCs/>
      <w:color w:val="2E75B6"/>
      <w:sz w:val="28"/>
      <w:szCs w:val="28"/>
    </w:rPr>
  </w:style>
  <w:style w:type="paragraph" w:styleId="4">
    <w:name w:val="heading 3"/>
    <w:next w:val="1"/>
    <w:qFormat/>
    <w:uiPriority w:val="0"/>
    <w:rPr>
      <w:rFonts w:ascii="WenQuanYi Micro Hei" w:hAnsi="WenQuanYi Micro Hei" w:eastAsia="WenQuanYi Micro Hei" w:cs="WenQuanYi Micro Hei"/>
      <w:color w:val="1F4D78"/>
      <w:sz w:val="24"/>
      <w:szCs w:val="24"/>
    </w:rPr>
  </w:style>
  <w:style w:type="paragraph" w:styleId="5">
    <w:name w:val="heading 4"/>
    <w:next w:val="1"/>
    <w:qFormat/>
    <w:uiPriority w:val="0"/>
    <w:rPr>
      <w:rFonts w:ascii="WenQuanYi Micro Hei" w:hAnsi="WenQuanYi Micro Hei" w:eastAsia="WenQuanYi Micro Hei" w:cs="WenQuanYi Micro Hei"/>
      <w:i/>
      <w:iCs/>
      <w:color w:val="2E74B5"/>
      <w:sz w:val="24"/>
      <w:szCs w:val="24"/>
    </w:rPr>
  </w:style>
  <w:style w:type="paragraph" w:styleId="6">
    <w:name w:val="heading 5"/>
    <w:next w:val="1"/>
    <w:qFormat/>
    <w:uiPriority w:val="0"/>
    <w:rPr>
      <w:rFonts w:ascii="WenQuanYi Micro Hei" w:hAnsi="WenQuanYi Micro Hei" w:eastAsia="WenQuanYi Micro Hei" w:cs="WenQuanYi Micro Hei"/>
      <w:color w:val="2E74B5"/>
      <w:sz w:val="24"/>
      <w:szCs w:val="24"/>
    </w:rPr>
  </w:style>
  <w:style w:type="paragraph" w:styleId="7">
    <w:name w:val="heading 6"/>
    <w:next w:val="1"/>
    <w:qFormat/>
    <w:uiPriority w:val="0"/>
    <w:rPr>
      <w:rFonts w:ascii="WenQuanYi Micro Hei" w:hAnsi="WenQuanYi Micro Hei" w:eastAsia="WenQuanYi Micro Hei" w:cs="WenQuanYi Micro Hei"/>
      <w:color w:val="1F4D78"/>
      <w:sz w:val="24"/>
      <w:szCs w:val="24"/>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8">
    <w:name w:val="endnote text"/>
    <w:link w:val="18"/>
    <w:semiHidden/>
    <w:unhideWhenUsed/>
    <w:qFormat/>
    <w:uiPriority w:val="99"/>
    <w:pPr>
      <w:spacing w:after="0" w:line="240" w:lineRule="auto"/>
    </w:pPr>
    <w:rPr>
      <w:rFonts w:ascii="WenQuanYi Micro Hei" w:hAnsi="WenQuanYi Micro Hei" w:eastAsia="WenQuanYi Micro Hei" w:cs="WenQuanYi Micro Hei"/>
      <w:sz w:val="20"/>
      <w:szCs w:val="20"/>
    </w:rPr>
  </w:style>
  <w:style w:type="paragraph" w:styleId="9">
    <w:name w:val="footnote text"/>
    <w:link w:val="17"/>
    <w:semiHidden/>
    <w:unhideWhenUsed/>
    <w:qFormat/>
    <w:uiPriority w:val="99"/>
    <w:pPr>
      <w:spacing w:after="0" w:line="240" w:lineRule="auto"/>
    </w:pPr>
    <w:rPr>
      <w:rFonts w:ascii="WenQuanYi Micro Hei" w:hAnsi="WenQuanYi Micro Hei" w:eastAsia="WenQuanYi Micro Hei" w:cs="WenQuanYi Micro Hei"/>
      <w:sz w:val="20"/>
      <w:szCs w:val="20"/>
    </w:rPr>
  </w:style>
  <w:style w:type="paragraph" w:styleId="10">
    <w:name w:val="Title"/>
    <w:qFormat/>
    <w:uiPriority w:val="0"/>
    <w:rPr>
      <w:rFonts w:ascii="WenQuanYi Micro Hei" w:hAnsi="WenQuanYi Micro Hei" w:eastAsia="WenQuanYi Micro Hei" w:cs="WenQuanYi Micro Hei"/>
      <w:sz w:val="56"/>
      <w:szCs w:val="56"/>
    </w:rPr>
  </w:style>
  <w:style w:type="character" w:styleId="13">
    <w:name w:val="endnote reference"/>
    <w:semiHidden/>
    <w:unhideWhenUsed/>
    <w:qFormat/>
    <w:uiPriority w:val="99"/>
    <w:rPr>
      <w:vertAlign w:val="superscript"/>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WenQuanYi Micro Hei" w:hAnsi="WenQuanYi Micro Hei" w:eastAsia="WenQuanYi Micro Hei" w:cs="WenQuanYi Micro Hei"/>
      <w:sz w:val="24"/>
      <w:szCs w:val="24"/>
    </w:rPr>
  </w:style>
  <w:style w:type="character" w:customStyle="1" w:styleId="17">
    <w:name w:val="Footnote Text Char"/>
    <w:link w:val="9"/>
    <w:semiHidden/>
    <w:unhideWhenUsed/>
    <w:qFormat/>
    <w:uiPriority w:val="99"/>
    <w:rPr>
      <w:sz w:val="20"/>
      <w:szCs w:val="20"/>
    </w:rPr>
  </w:style>
  <w:style w:type="character" w:customStyle="1" w:styleId="18">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3112</Words>
  <Characters>3583</Characters>
  <TotalTime>0</TotalTime>
  <ScaleCrop>false</ScaleCrop>
  <LinksUpToDate>false</LinksUpToDate>
  <CharactersWithSpaces>3654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2026-08-13T02:02:00Z</dcterms:created>
  <dc:creator>Un-named</dc:creator>
  <cp:lastModifiedBy>Ryan张明辉</cp:lastModifiedBy>
  <dcterms:modified xsi:type="dcterms:W3CDTF">2026-08-13T02:21:41Z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{"Label":"1","ContentProducer":"001191440300708461136T1WFUO","ProduceID":"a8a973ed9a7089b90915140eba225b41-Tqai","ReservedCode1":"{\"Type\":\" TC260PG\",\"Version\":1,\"Bindings\":[{\"Type\":\"soft\",\"AlgID\":\"sm3\",\"Value\":\"66cdc2bfe644f2697423071f4ae74db999907fbc7b81f6d12d404a64dcb250da\"},{\"Type\":\"hash\",\"AlgID\":\"sm3\",\"Value\":\"d4e1ce4784cf593bef674ea382f6625829d66d375c448cf7aa54af207be35945\"}],\"PubSD\":[{\"Type\":\"DS\",\"AlgID\":\"sm2\",\"TBSData\":{\"Type\":\"Binding\",\"BType\":\"hash\"},\"Signature\":\"304502204c3302493b68b7acc2a87bbefec213e54ce732dbedcc675aad87253f1a1e767602210094baafb4ffbf5d44a591b3598fdae261f41faf5d42705dd4cef98f90e0e54d82\"},{\"Type\":\"PubKey\",\"AlgID\":\"sm2\",\"KeyValue\":\"0407f79b28a17a752b3aae4305c98b48978213832729a2571850b1310b2bc9fe8fee039ccf25ebfeac27502414d9fcef792d777183c98893d226171c2f7a3289a2\"}],\"Extension\":{\"Timestamp\":1786586821,\"KeyVersion\":\"v1-TxLeOmf7bqU223\"}}","ContentPropagator":"001191440300708461136T1WFUO","PropagateID":"a8a973ed9a7089b90915140eba225b41-Tqai","ReservedCode2":"{\"Type\":\" TC260PG\",\"Version\":1,\"Bindings\":[{\"Type\":\"soft\",\"AlgID\":\"sm3\",\"Value\":\"66cdc2bfe644f2697423071f4ae74db999907fbc7b81f6d12d404a64dcb250da\"},{\"Type\":\"hash\",\"AlgID\":\"sm3\",\"Value\":\"d4e1ce4784cf593bef674ea382f6625829d66d375c448cf7aa54af207be35945\"}],\"PubSD\":[{\"Type\":\"DS\",\"AlgID\":\"sm2\",\"TBSData\":{\"Type\":\"Binding\",\"BType\":\"hash\"},\"Signature\":\"3046022100d4bbda540180220616cdc6f912c0ac12b97e351b45c0a92857223fec8997f8af022100a9155b87f2a77f1918dc56fadd6ba4f0a789063bc2556af467e3557fbb8805a5\"},{\"Type\":\"PubKey\",\"AlgID\":\"sm2\",\"KeyValue\":\"0407f79b28a17a752b3aae4305c98b48978213832729a2571850b1310b2bc9fe8fee039ccf25ebfeac27502414d9fcef792d777183c98893d226171c2f7a3289a2\"}],\"Extension\":{\"Timestamp\":1786586821,\"KeyVersion\":\"v1-TxLeOmf7bqU223\"}}"}</vt:lpwstr>
  </property>
  <property fmtid="{D5CDD505-2E9C-101B-9397-08002B2CF9AE}" pid="3" name="KSOTemplateDocerSaveRecord">
    <vt:lpwstr>eyJoZGlkIjoiMzEwNTM5NzYwMDRjMzkwZTVkZjY2ODkwMGIxNGU0OTUiLCJ1c2VySWQiOiIyNzAwOTM5NTEifQ==</vt:lpwstr>
  </property>
  <property fmtid="{D5CDD505-2E9C-101B-9397-08002B2CF9AE}" pid="4" name="KSOProductBuildVer">
    <vt:lpwstr>2052-12.1.0.28043</vt:lpwstr>
  </property>
  <property fmtid="{D5CDD505-2E9C-101B-9397-08002B2CF9AE}" pid="5" name="ICV">
    <vt:lpwstr>D5D9FA83DEE34ACA8A772C13E8B494E7_12</vt:lpwstr>
  </property>
</Properties>
</file>